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2517775</wp:posOffset>
            </wp:positionH>
            <wp:positionV relativeFrom="paragraph">
              <wp:posOffset>-175895</wp:posOffset>
            </wp:positionV>
            <wp:extent cx="22212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78" w:lineRule="exact"/>
        <w:rPr>
          <w:sz w:val="24"/>
          <w:szCs w:val="24"/>
          <w:color w:val="auto"/>
        </w:rPr>
      </w:pPr>
    </w:p>
    <w:p>
      <w:pPr>
        <w:ind w:left="260"/>
        <w:spacing w:after="0"/>
        <w:rPr>
          <w:sz w:val="20"/>
          <w:szCs w:val="20"/>
          <w:color w:val="auto"/>
        </w:rPr>
      </w:pPr>
      <w:r>
        <w:rPr>
          <w:rFonts w:ascii="Arial" w:cs="Arial" w:eastAsia="Arial" w:hAnsi="Arial"/>
          <w:sz w:val="16"/>
          <w:szCs w:val="16"/>
          <w:color w:val="auto"/>
        </w:rPr>
        <w:t>(Mark One)</w:t>
      </w:r>
    </w:p>
    <w:p>
      <w:pPr>
        <w:spacing w:after="0" w:line="69" w:lineRule="exact"/>
        <w:rPr>
          <w:sz w:val="24"/>
          <w:szCs w:val="24"/>
          <w:color w:val="auto"/>
        </w:rPr>
      </w:pPr>
    </w:p>
    <w:p>
      <w:pPr>
        <w:ind w:left="1300" w:right="2220" w:hanging="745"/>
        <w:spacing w:after="0" w:line="309" w:lineRule="auto"/>
        <w:tabs>
          <w:tab w:leader="none" w:pos="13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 xml:space="preserve">ANNUAL REPORT PURSUANT TO SECTION 13 OR 15(d) OF THE SECURITIES EXCHANGE ACT OF 1934 For the fiscal year ended </w:t>
      </w:r>
      <w:r>
        <w:rPr>
          <w:rFonts w:ascii="Arial" w:cs="Arial" w:eastAsia="Arial" w:hAnsi="Arial"/>
          <w:sz w:val="21"/>
          <w:szCs w:val="21"/>
          <w:b w:val="1"/>
          <w:bCs w:val="1"/>
          <w:color w:val="auto"/>
        </w:rPr>
        <w:t>December 31,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1300" w:hanging="711"/>
        <w:spacing w:after="0"/>
        <w:tabs>
          <w:tab w:leader="none" w:pos="13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522" w:right="239" w:bottom="1440" w:gutter="0" w:footer="0" w:header="0"/>
        </w:sectPr>
      </w:pPr>
    </w:p>
    <w:p>
      <w:pPr>
        <w:spacing w:after="0" w:line="73" w:lineRule="exact"/>
        <w:rPr>
          <w:sz w:val="24"/>
          <w:szCs w:val="24"/>
          <w:color w:val="auto"/>
        </w:rPr>
      </w:pPr>
    </w:p>
    <w:p>
      <w:pPr>
        <w:ind w:left="1300"/>
        <w:spacing w:after="0"/>
        <w:tabs>
          <w:tab w:leader="none" w:pos="37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ectPr>
          <w:pgSz w:w="11900" w:h="16838" w:orient="portrait"/>
          <w:cols w:equalWidth="0" w:num="1">
            <w:col w:w="11420"/>
          </w:cols>
          <w:pgMar w:left="240" w:top="522" w:right="239" w:bottom="1440" w:gutter="0" w:footer="0" w:header="0"/>
          <w:type w:val="continuous"/>
        </w:sectPr>
      </w:pP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0-10546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2517775</wp:posOffset>
            </wp:positionH>
            <wp:positionV relativeFrom="paragraph">
              <wp:posOffset>194945</wp:posOffset>
            </wp:positionV>
            <wp:extent cx="22212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type w:val="continuous"/>
        </w:sectPr>
      </w:pPr>
    </w:p>
    <w:p>
      <w:pPr>
        <w:spacing w:after="0" w:line="321" w:lineRule="exact"/>
        <w:rPr>
          <w:sz w:val="24"/>
          <w:szCs w:val="24"/>
          <w:color w:val="auto"/>
        </w:rPr>
      </w:pPr>
    </w:p>
    <w:p>
      <w:pPr>
        <w:jc w:val="center"/>
        <w:ind w:right="-19"/>
        <w:spacing w:after="0"/>
        <w:rPr>
          <w:sz w:val="20"/>
          <w:szCs w:val="20"/>
          <w:color w:val="auto"/>
        </w:rPr>
      </w:pPr>
      <w:r>
        <w:rPr>
          <w:sz w:val="1"/>
          <w:szCs w:val="1"/>
          <w:color w:val="auto"/>
        </w:rPr>
        <w:drawing>
          <wp:inline distT="0" distB="0" distL="0" distR="0">
            <wp:extent cx="634365" cy="317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4365" cy="317500"/>
                    </a:xfrm>
                    <a:prstGeom prst="rect">
                      <a:avLst/>
                    </a:prstGeom>
                    <a:noFill/>
                    <a:ln>
                      <a:noFill/>
                    </a:ln>
                  </pic:spPr>
                </pic:pic>
              </a:graphicData>
            </a:graphic>
          </wp:inline>
        </w:drawing>
      </w:r>
      <w:r>
        <w:rPr>
          <w:rFonts w:ascii="Arial" w:cs="Arial" w:eastAsia="Arial" w:hAnsi="Arial"/>
          <w:sz w:val="43"/>
          <w:szCs w:val="43"/>
          <w:b w:val="1"/>
          <w:bCs w:val="1"/>
          <w:color w:val="auto"/>
        </w:rPr>
        <w:t>LAWSON PRODUCTS, INC.</w:t>
      </w:r>
    </w:p>
    <w:p>
      <w:pPr>
        <w:spacing w:after="0" w:line="10" w:lineRule="exact"/>
        <w:rPr>
          <w:sz w:val="24"/>
          <w:szCs w:val="24"/>
          <w:color w:val="auto"/>
        </w:rPr>
      </w:pPr>
    </w:p>
    <w:tbl>
      <w:tblPr>
        <w:tblLayout w:type="fixed"/>
        <w:tblInd w:w="1900" w:type="dxa"/>
        <w:tblCellMar>
          <w:top w:w="0" w:type="dxa"/>
          <w:left w:w="0" w:type="dxa"/>
          <w:bottom w:w="0" w:type="dxa"/>
          <w:right w:w="0" w:type="dxa"/>
        </w:tblCellMar>
      </w:tblPr>
      <w:tr>
        <w:trPr>
          <w:trHeight w:val="182"/>
        </w:trPr>
        <w:tc>
          <w:tcPr>
            <w:tcW w:w="2060" w:type="dxa"/>
            <w:vAlign w:val="bottom"/>
          </w:tcPr>
          <w:p>
            <w:pPr>
              <w:spacing w:after="0"/>
              <w:rPr>
                <w:sz w:val="15"/>
                <w:szCs w:val="15"/>
                <w:color w:val="auto"/>
              </w:rPr>
            </w:pPr>
          </w:p>
        </w:tc>
        <w:tc>
          <w:tcPr>
            <w:tcW w:w="5160" w:type="dxa"/>
            <w:vAlign w:val="bottom"/>
          </w:tcPr>
          <w:p>
            <w:pPr>
              <w:ind w:left="240"/>
              <w:spacing w:after="0"/>
              <w:rPr>
                <w:sz w:val="20"/>
                <w:szCs w:val="20"/>
                <w:color w:val="auto"/>
              </w:rPr>
            </w:pPr>
            <w:r>
              <w:rPr>
                <w:rFonts w:ascii="Arial" w:cs="Arial" w:eastAsia="Arial" w:hAnsi="Arial"/>
                <w:sz w:val="14"/>
                <w:szCs w:val="14"/>
                <w:b w:val="1"/>
                <w:bCs w:val="1"/>
                <w:i w:val="1"/>
                <w:iCs w:val="1"/>
                <w:color w:val="auto"/>
              </w:rPr>
              <w:t>(Exact Name of Registrant as Specified in Charter)</w:t>
            </w:r>
          </w:p>
        </w:tc>
      </w:tr>
      <w:tr>
        <w:trPr>
          <w:trHeight w:val="359"/>
        </w:trPr>
        <w:tc>
          <w:tcPr>
            <w:tcW w:w="2060" w:type="dxa"/>
            <w:vAlign w:val="bottom"/>
          </w:tcPr>
          <w:p>
            <w:pPr>
              <w:jc w:val="center"/>
              <w:ind w:right="165"/>
              <w:spacing w:after="0"/>
              <w:rPr>
                <w:sz w:val="20"/>
                <w:szCs w:val="20"/>
                <w:color w:val="auto"/>
              </w:rPr>
            </w:pPr>
            <w:r>
              <w:rPr>
                <w:rFonts w:ascii="Arial" w:cs="Arial" w:eastAsia="Arial" w:hAnsi="Arial"/>
                <w:sz w:val="16"/>
                <w:szCs w:val="16"/>
                <w:b w:val="1"/>
                <w:bCs w:val="1"/>
                <w:color w:val="auto"/>
                <w:w w:val="93"/>
              </w:rPr>
              <w:t>Delaware</w:t>
            </w:r>
          </w:p>
        </w:tc>
        <w:tc>
          <w:tcPr>
            <w:tcW w:w="5160" w:type="dxa"/>
            <w:vAlign w:val="bottom"/>
          </w:tcPr>
          <w:p>
            <w:pPr>
              <w:jc w:val="center"/>
              <w:ind w:left="3986"/>
              <w:spacing w:after="0"/>
              <w:rPr>
                <w:sz w:val="20"/>
                <w:szCs w:val="20"/>
                <w:color w:val="auto"/>
              </w:rPr>
            </w:pPr>
            <w:r>
              <w:rPr>
                <w:rFonts w:ascii="Arial" w:cs="Arial" w:eastAsia="Arial" w:hAnsi="Arial"/>
                <w:sz w:val="16"/>
                <w:szCs w:val="16"/>
                <w:b w:val="1"/>
                <w:bCs w:val="1"/>
                <w:color w:val="auto"/>
                <w:w w:val="91"/>
              </w:rPr>
              <w:t>36-2229304</w:t>
            </w:r>
          </w:p>
        </w:tc>
      </w:tr>
      <w:tr>
        <w:trPr>
          <w:trHeight w:val="291"/>
        </w:trPr>
        <w:tc>
          <w:tcPr>
            <w:tcW w:w="2060" w:type="dxa"/>
            <w:vAlign w:val="bottom"/>
          </w:tcPr>
          <w:p>
            <w:pPr>
              <w:jc w:val="center"/>
              <w:ind w:right="165"/>
              <w:spacing w:after="0"/>
              <w:rPr>
                <w:sz w:val="20"/>
                <w:szCs w:val="20"/>
                <w:color w:val="auto"/>
              </w:rPr>
            </w:pPr>
            <w:r>
              <w:rPr>
                <w:rFonts w:ascii="Arial" w:cs="Arial" w:eastAsia="Arial" w:hAnsi="Arial"/>
                <w:sz w:val="14"/>
                <w:szCs w:val="14"/>
                <w:b w:val="1"/>
                <w:bCs w:val="1"/>
                <w:i w:val="1"/>
                <w:iCs w:val="1"/>
                <w:color w:val="auto"/>
                <w:w w:val="90"/>
              </w:rPr>
              <w:t>(State or other jurisdiction of</w:t>
            </w:r>
          </w:p>
        </w:tc>
        <w:tc>
          <w:tcPr>
            <w:tcW w:w="5160" w:type="dxa"/>
            <w:vAlign w:val="bottom"/>
          </w:tcPr>
          <w:p>
            <w:pPr>
              <w:jc w:val="center"/>
              <w:ind w:left="4006"/>
              <w:spacing w:after="0"/>
              <w:rPr>
                <w:sz w:val="20"/>
                <w:szCs w:val="20"/>
                <w:color w:val="auto"/>
              </w:rPr>
            </w:pPr>
            <w:r>
              <w:rPr>
                <w:rFonts w:ascii="Arial" w:cs="Arial" w:eastAsia="Arial" w:hAnsi="Arial"/>
                <w:sz w:val="14"/>
                <w:szCs w:val="14"/>
                <w:b w:val="1"/>
                <w:bCs w:val="1"/>
                <w:i w:val="1"/>
                <w:iCs w:val="1"/>
                <w:color w:val="auto"/>
                <w:w w:val="93"/>
              </w:rPr>
              <w:t>(I.R.S. Employer</w:t>
            </w:r>
          </w:p>
        </w:tc>
      </w:tr>
      <w:tr>
        <w:trPr>
          <w:trHeight w:val="270"/>
        </w:trPr>
        <w:tc>
          <w:tcPr>
            <w:tcW w:w="2060" w:type="dxa"/>
            <w:vAlign w:val="bottom"/>
          </w:tcPr>
          <w:p>
            <w:pPr>
              <w:jc w:val="center"/>
              <w:ind w:right="165"/>
              <w:spacing w:after="0"/>
              <w:rPr>
                <w:sz w:val="20"/>
                <w:szCs w:val="20"/>
                <w:color w:val="auto"/>
              </w:rPr>
            </w:pPr>
            <w:r>
              <w:rPr>
                <w:rFonts w:ascii="Arial" w:cs="Arial" w:eastAsia="Arial" w:hAnsi="Arial"/>
                <w:sz w:val="14"/>
                <w:szCs w:val="14"/>
                <w:b w:val="1"/>
                <w:bCs w:val="1"/>
                <w:i w:val="1"/>
                <w:iCs w:val="1"/>
                <w:color w:val="auto"/>
                <w:w w:val="91"/>
              </w:rPr>
              <w:t>incorporation or organization)</w:t>
            </w:r>
          </w:p>
        </w:tc>
        <w:tc>
          <w:tcPr>
            <w:tcW w:w="5160" w:type="dxa"/>
            <w:vAlign w:val="bottom"/>
          </w:tcPr>
          <w:p>
            <w:pPr>
              <w:jc w:val="center"/>
              <w:ind w:left="3986"/>
              <w:spacing w:after="0"/>
              <w:rPr>
                <w:sz w:val="20"/>
                <w:szCs w:val="20"/>
                <w:color w:val="auto"/>
              </w:rPr>
            </w:pPr>
            <w:r>
              <w:rPr>
                <w:rFonts w:ascii="Arial" w:cs="Arial" w:eastAsia="Arial" w:hAnsi="Arial"/>
                <w:sz w:val="14"/>
                <w:szCs w:val="14"/>
                <w:b w:val="1"/>
                <w:bCs w:val="1"/>
                <w:i w:val="1"/>
                <w:iCs w:val="1"/>
                <w:color w:val="auto"/>
                <w:w w:val="92"/>
              </w:rPr>
              <w:t>Identification No.)</w:t>
            </w:r>
          </w:p>
        </w:tc>
      </w:tr>
    </w:tbl>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8770 W. Bryn Mawr Avenue, Suite 900, Chicago, Illinois 60631</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(773) 304-5050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5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2"/>
          </w:tcPr>
          <w:p>
            <w:pPr>
              <w:jc w:val="center"/>
              <w:ind w:right="1059"/>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15"/>
        </w:trPr>
        <w:tc>
          <w:tcPr>
            <w:tcW w:w="40" w:type="dxa"/>
            <w:vAlign w:val="bottom"/>
          </w:tcPr>
          <w:p>
            <w:pPr>
              <w:spacing w:after="0"/>
              <w:rPr>
                <w:sz w:val="18"/>
                <w:szCs w:val="18"/>
                <w:color w:val="auto"/>
              </w:rPr>
            </w:pPr>
          </w:p>
        </w:tc>
        <w:tc>
          <w:tcPr>
            <w:tcW w:w="7040" w:type="dxa"/>
            <w:vAlign w:val="bottom"/>
            <w:gridSpan w:val="4"/>
          </w:tcPr>
          <w:p>
            <w:pPr>
              <w:jc w:val="center"/>
              <w:ind w:right="1720"/>
              <w:spacing w:after="0"/>
              <w:rPr>
                <w:sz w:val="20"/>
                <w:szCs w:val="20"/>
                <w:color w:val="auto"/>
              </w:rPr>
            </w:pPr>
            <w:r>
              <w:rPr>
                <w:rFonts w:ascii="Arial" w:cs="Arial" w:eastAsia="Arial" w:hAnsi="Arial"/>
                <w:sz w:val="16"/>
                <w:szCs w:val="16"/>
                <w:b w:val="1"/>
                <w:bCs w:val="1"/>
                <w:color w:val="auto"/>
                <w:w w:val="91"/>
              </w:rPr>
              <w:t>Common Stock, $1.00 par value</w:t>
            </w:r>
          </w:p>
        </w:tc>
        <w:tc>
          <w:tcPr>
            <w:tcW w:w="380" w:type="dxa"/>
            <w:vAlign w:val="bottom"/>
          </w:tcPr>
          <w:p>
            <w:pPr>
              <w:spacing w:after="0"/>
              <w:rPr>
                <w:sz w:val="18"/>
                <w:szCs w:val="18"/>
                <w:color w:val="auto"/>
              </w:rPr>
            </w:pPr>
          </w:p>
        </w:tc>
        <w:tc>
          <w:tcPr>
            <w:tcW w:w="3940" w:type="dxa"/>
            <w:vAlign w:val="bottom"/>
          </w:tcPr>
          <w:p>
            <w:pPr>
              <w:jc w:val="center"/>
              <w:ind w:right="1459"/>
              <w:spacing w:after="0"/>
              <w:rPr>
                <w:sz w:val="20"/>
                <w:szCs w:val="20"/>
                <w:color w:val="auto"/>
              </w:rPr>
            </w:pPr>
            <w:r>
              <w:rPr>
                <w:rFonts w:ascii="Arial" w:cs="Arial" w:eastAsia="Arial" w:hAnsi="Arial"/>
                <w:sz w:val="16"/>
                <w:szCs w:val="16"/>
                <w:b w:val="1"/>
                <w:bCs w:val="1"/>
                <w:color w:val="auto"/>
                <w:w w:val="97"/>
              </w:rPr>
              <w:t>The NASDAQ Stock Market LLC</w:t>
            </w:r>
          </w:p>
        </w:tc>
      </w:tr>
      <w:tr>
        <w:trPr>
          <w:trHeight w:val="210"/>
        </w:trPr>
        <w:tc>
          <w:tcPr>
            <w:tcW w:w="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40" w:type="dxa"/>
            <w:vAlign w:val="bottom"/>
          </w:tcPr>
          <w:p>
            <w:pPr>
              <w:jc w:val="center"/>
              <w:ind w:right="1439"/>
              <w:spacing w:after="0"/>
              <w:rPr>
                <w:sz w:val="20"/>
                <w:szCs w:val="20"/>
                <w:color w:val="auto"/>
              </w:rPr>
            </w:pPr>
            <w:r>
              <w:rPr>
                <w:rFonts w:ascii="Arial" w:cs="Arial" w:eastAsia="Arial" w:hAnsi="Arial"/>
                <w:sz w:val="16"/>
                <w:szCs w:val="16"/>
                <w:b w:val="1"/>
                <w:bCs w:val="1"/>
                <w:color w:val="auto"/>
                <w:w w:val="95"/>
              </w:rPr>
              <w:t>(NASDAQ Global Select Market)</w:t>
            </w:r>
          </w:p>
        </w:tc>
      </w:tr>
      <w:tr>
        <w:trPr>
          <w:trHeight w:val="244"/>
        </w:trPr>
        <w:tc>
          <w:tcPr>
            <w:tcW w:w="40" w:type="dxa"/>
            <w:vAlign w:val="bottom"/>
          </w:tcPr>
          <w:p>
            <w:pPr>
              <w:spacing w:after="0"/>
              <w:rPr>
                <w:sz w:val="21"/>
                <w:szCs w:val="21"/>
                <w:color w:val="auto"/>
              </w:rPr>
            </w:pPr>
          </w:p>
        </w:tc>
        <w:tc>
          <w:tcPr>
            <w:tcW w:w="113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r>
      <w:tr>
        <w:trPr>
          <w:trHeight w:val="216"/>
        </w:trPr>
        <w:tc>
          <w:tcPr>
            <w:tcW w:w="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0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8"/>
              </w:rPr>
              <w:t>None</w:t>
            </w:r>
          </w:p>
        </w:tc>
        <w:tc>
          <w:tcPr>
            <w:tcW w:w="38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182"/>
        </w:trPr>
        <w:tc>
          <w:tcPr>
            <w:tcW w:w="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3120" w:type="dxa"/>
            <w:vAlign w:val="bottom"/>
            <w:gridSpan w:val="3"/>
          </w:tcPr>
          <w:p>
            <w:pPr>
              <w:jc w:val="center"/>
              <w:ind w:left="308"/>
              <w:spacing w:after="0"/>
              <w:rPr>
                <w:sz w:val="20"/>
                <w:szCs w:val="20"/>
                <w:color w:val="auto"/>
              </w:rPr>
            </w:pPr>
            <w:r>
              <w:rPr>
                <w:rFonts w:ascii="Arial" w:cs="Arial" w:eastAsia="Arial" w:hAnsi="Arial"/>
                <w:sz w:val="14"/>
                <w:szCs w:val="14"/>
                <w:i w:val="1"/>
                <w:iCs w:val="1"/>
                <w:color w:val="auto"/>
                <w:w w:val="94"/>
              </w:rPr>
              <w:t>(Title of class)</w:t>
            </w:r>
          </w:p>
        </w:tc>
        <w:tc>
          <w:tcPr>
            <w:tcW w:w="380" w:type="dxa"/>
            <w:vAlign w:val="bottom"/>
          </w:tcPr>
          <w:p>
            <w:pPr>
              <w:spacing w:after="0"/>
              <w:rPr>
                <w:sz w:val="15"/>
                <w:szCs w:val="15"/>
                <w:color w:val="auto"/>
              </w:rPr>
            </w:pPr>
          </w:p>
        </w:tc>
        <w:tc>
          <w:tcPr>
            <w:tcW w:w="3940" w:type="dxa"/>
            <w:vAlign w:val="bottom"/>
          </w:tcPr>
          <w:p>
            <w:pPr>
              <w:spacing w:after="0"/>
              <w:rPr>
                <w:sz w:val="15"/>
                <w:szCs w:val="15"/>
                <w:color w:val="auto"/>
              </w:rPr>
            </w:pPr>
          </w:p>
        </w:tc>
      </w:tr>
      <w:tr>
        <w:trPr>
          <w:trHeight w:val="255"/>
        </w:trPr>
        <w:tc>
          <w:tcPr>
            <w:tcW w:w="3960" w:type="dxa"/>
            <w:vAlign w:val="bottom"/>
            <w:gridSpan w:val="2"/>
          </w:tcPr>
          <w:p>
            <w:pPr>
              <w:spacing w:after="0"/>
              <w:rPr>
                <w:sz w:val="22"/>
                <w:szCs w:val="22"/>
                <w:color w:val="auto"/>
              </w:rPr>
            </w:pPr>
          </w:p>
        </w:tc>
        <w:tc>
          <w:tcPr>
            <w:tcW w:w="3120" w:type="dxa"/>
            <w:vAlign w:val="bottom"/>
            <w:tcBorders>
              <w:bottom w:val="single" w:sz="8" w:color="auto"/>
            </w:tcBorders>
            <w:gridSpan w:val="3"/>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940" w:type="dxa"/>
            <w:vAlign w:val="bottom"/>
          </w:tcPr>
          <w:p>
            <w:pPr>
              <w:spacing w:after="0"/>
              <w:rPr>
                <w:sz w:val="22"/>
                <w:szCs w:val="22"/>
                <w:color w:val="auto"/>
              </w:rPr>
            </w:pPr>
          </w:p>
        </w:tc>
      </w:tr>
      <w:tr>
        <w:trPr>
          <w:trHeight w:val="281"/>
        </w:trPr>
        <w:tc>
          <w:tcPr>
            <w:tcW w:w="7080" w:type="dxa"/>
            <w:vAlign w:val="bottom"/>
            <w:gridSpan w:val="5"/>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 Yes</w:t>
            </w:r>
          </w:p>
        </w:tc>
        <w:tc>
          <w:tcPr>
            <w:tcW w:w="4320" w:type="dxa"/>
            <w:vAlign w:val="bottom"/>
            <w:gridSpan w:val="2"/>
          </w:tcPr>
          <w:p>
            <w:pPr>
              <w:ind w:left="40"/>
              <w:spacing w:after="0" w:line="161" w:lineRule="exact"/>
              <w:rPr>
                <w:sz w:val="20"/>
                <w:szCs w:val="20"/>
                <w:color w:val="auto"/>
              </w:rPr>
            </w:pPr>
            <w:r>
              <w:rPr>
                <w:rFonts w:ascii="Arial" w:cs="Arial" w:eastAsia="Arial" w:hAnsi="Arial"/>
                <w:sz w:val="14"/>
                <w:szCs w:val="14"/>
                <w:color w:val="auto"/>
              </w:rPr>
              <w:t xml:space="preserve">o No </w:t>
            </w:r>
            <w:r>
              <w:rPr>
                <w:rFonts w:ascii="MS PGothic" w:cs="MS PGothic" w:eastAsia="MS PGothic" w:hAnsi="MS PGothic"/>
                <w:sz w:val="14"/>
                <w:szCs w:val="14"/>
                <w:color w:val="auto"/>
              </w:rPr>
              <w:t>☑</w:t>
            </w:r>
          </w:p>
        </w:tc>
      </w:tr>
    </w:tbl>
    <w:p>
      <w:pPr>
        <w:spacing w:after="0" w:line="161" w:lineRule="exact"/>
        <w:tabs>
          <w:tab w:leader="none" w:pos="812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Exchange Act. Yes o</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3"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Indicate by check 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9" w:lineRule="exact"/>
        <w:rPr>
          <w:sz w:val="24"/>
          <w:szCs w:val="24"/>
          <w:color w:val="auto"/>
        </w:rPr>
      </w:pPr>
    </w:p>
    <w:p>
      <w:pPr>
        <w:ind w:right="2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18" w:lineRule="exact"/>
        <w:rPr>
          <w:sz w:val="24"/>
          <w:szCs w:val="24"/>
          <w:color w:val="auto"/>
        </w:rPr>
      </w:pPr>
    </w:p>
    <w:p>
      <w:pPr>
        <w:ind w:right="62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39" w:lineRule="exact"/>
        <w:rPr>
          <w:sz w:val="24"/>
          <w:szCs w:val="24"/>
          <w:color w:val="auto"/>
        </w:rPr>
      </w:pPr>
    </w:p>
    <w:p>
      <w:pPr>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Rule 12b-2 of the Exchange Act. (Check one)</w:t>
      </w:r>
    </w:p>
    <w:p>
      <w:pPr>
        <w:spacing w:after="0" w:line="80"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6740" w:type="dxa"/>
            <w:vAlign w:val="bottom"/>
          </w:tcPr>
          <w:p>
            <w:pPr>
              <w:spacing w:after="0"/>
              <w:rPr>
                <w:sz w:val="20"/>
                <w:szCs w:val="20"/>
                <w:color w:val="auto"/>
              </w:rPr>
            </w:pPr>
            <w:r>
              <w:rPr>
                <w:rFonts w:ascii="Arial" w:cs="Arial" w:eastAsia="Arial" w:hAnsi="Arial"/>
                <w:sz w:val="14"/>
                <w:szCs w:val="14"/>
                <w:color w:val="auto"/>
              </w:rPr>
              <w:t>Large accelerated filer o</w:t>
            </w:r>
          </w:p>
        </w:tc>
        <w:tc>
          <w:tcPr>
            <w:tcW w:w="450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30"/>
        </w:trPr>
        <w:tc>
          <w:tcPr>
            <w:tcW w:w="6740" w:type="dxa"/>
            <w:vAlign w:val="bottom"/>
          </w:tcPr>
          <w:p>
            <w:pPr>
              <w:ind w:left="20"/>
              <w:spacing w:after="0"/>
              <w:rPr>
                <w:sz w:val="20"/>
                <w:szCs w:val="20"/>
                <w:color w:val="auto"/>
              </w:rPr>
            </w:pPr>
            <w:r>
              <w:rPr>
                <w:rFonts w:ascii="Arial" w:cs="Arial" w:eastAsia="Arial" w:hAnsi="Arial"/>
                <w:sz w:val="14"/>
                <w:szCs w:val="14"/>
                <w:color w:val="auto"/>
              </w:rPr>
              <w:t>Non-accelerated filer o (Do not check if a smaller reporting company)</w:t>
            </w:r>
          </w:p>
        </w:tc>
        <w:tc>
          <w:tcPr>
            <w:tcW w:w="450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r>
      <w:tr>
        <w:trPr>
          <w:trHeight w:val="268"/>
        </w:trPr>
        <w:tc>
          <w:tcPr>
            <w:tcW w:w="6740" w:type="dxa"/>
            <w:vAlign w:val="bottom"/>
          </w:tcPr>
          <w:p>
            <w:pPr>
              <w:spacing w:after="0"/>
              <w:rPr>
                <w:sz w:val="23"/>
                <w:szCs w:val="23"/>
                <w:color w:val="auto"/>
              </w:rPr>
            </w:pPr>
          </w:p>
        </w:tc>
        <w:tc>
          <w:tcPr>
            <w:tcW w:w="4500" w:type="dxa"/>
            <w:vAlign w:val="bottom"/>
          </w:tcPr>
          <w:p>
            <w:pPr>
              <w:jc w:val="right"/>
              <w:spacing w:after="0"/>
              <w:rPr>
                <w:sz w:val="20"/>
                <w:szCs w:val="20"/>
                <w:color w:val="auto"/>
              </w:rPr>
            </w:pPr>
            <w:r>
              <w:rPr>
                <w:rFonts w:ascii="Arial" w:cs="Arial" w:eastAsia="Arial" w:hAnsi="Arial"/>
                <w:sz w:val="14"/>
                <w:szCs w:val="14"/>
                <w:color w:val="auto"/>
              </w:rPr>
              <w:t>Emerging Growth Company o</w:t>
            </w:r>
          </w:p>
        </w:tc>
      </w:tr>
    </w:tbl>
    <w:p>
      <w:pPr>
        <w:spacing w:after="0" w:line="47" w:lineRule="exact"/>
        <w:rPr>
          <w:sz w:val="24"/>
          <w:szCs w:val="24"/>
          <w:color w:val="auto"/>
        </w:rPr>
      </w:pPr>
    </w:p>
    <w:p>
      <w:pPr>
        <w:jc w:val="both"/>
        <w:ind w:right="160"/>
        <w:spacing w:after="0" w:line="26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o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by Rule 12b-2 of the Exchange Act).</w:t>
      </w:r>
    </w:p>
    <w:p>
      <w:pPr>
        <w:spacing w:after="0" w:line="3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o No </w:t>
      </w:r>
      <w:r>
        <w:rPr>
          <w:rFonts w:ascii="MS PGothic" w:cs="MS PGothic" w:eastAsia="MS PGothic" w:hAnsi="MS PGothic"/>
          <w:sz w:val="14"/>
          <w:szCs w:val="14"/>
          <w:color w:val="auto"/>
        </w:rPr>
        <w:t>☑</w:t>
      </w:r>
    </w:p>
    <w:p>
      <w:pPr>
        <w:spacing w:after="0" w:line="77" w:lineRule="exact"/>
        <w:rPr>
          <w:sz w:val="24"/>
          <w:szCs w:val="24"/>
          <w:color w:val="auto"/>
        </w:rPr>
      </w:pPr>
    </w:p>
    <w:p>
      <w:pPr>
        <w:ind w:right="2560"/>
        <w:spacing w:after="0" w:line="322" w:lineRule="auto"/>
        <w:rPr>
          <w:sz w:val="20"/>
          <w:szCs w:val="20"/>
          <w:color w:val="auto"/>
        </w:rPr>
      </w:pPr>
      <w:r>
        <w:rPr>
          <w:rFonts w:ascii="Arial" w:cs="Arial" w:eastAsia="Arial" w:hAnsi="Arial"/>
          <w:sz w:val="14"/>
          <w:szCs w:val="14"/>
          <w:color w:val="auto"/>
        </w:rPr>
        <w:t>The aggregate market value of the registrant’s voting stock held by non-affiliates on June 29, 2018 (based upon the per share closing price of $24.35) was approximately $116,844,000.</w:t>
      </w:r>
    </w:p>
    <w:p>
      <w:pPr>
        <w:spacing w:after="0"/>
        <w:rPr>
          <w:sz w:val="20"/>
          <w:szCs w:val="20"/>
          <w:color w:val="auto"/>
        </w:rPr>
      </w:pPr>
      <w:r>
        <w:rPr>
          <w:rFonts w:ascii="Arial" w:cs="Arial" w:eastAsia="Arial" w:hAnsi="Arial"/>
          <w:sz w:val="14"/>
          <w:szCs w:val="14"/>
          <w:color w:val="auto"/>
        </w:rPr>
        <w:t>As of January 31, 2019, 8,962,450 shares of Common Stock were outstanding.</w:t>
      </w:r>
    </w:p>
    <w:p>
      <w:pPr>
        <w:spacing w:after="0" w:line="51"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The following documents are incorporated into this Form 10-K by reference:</w:t>
      </w:r>
    </w:p>
    <w:p>
      <w:pPr>
        <w:spacing w:after="0" w:line="55" w:lineRule="exact"/>
        <w:rPr>
          <w:sz w:val="24"/>
          <w:szCs w:val="24"/>
          <w:color w:val="auto"/>
        </w:rPr>
      </w:pPr>
    </w:p>
    <w:p>
      <w:pPr>
        <w:spacing w:after="0"/>
        <w:rPr>
          <w:sz w:val="20"/>
          <w:szCs w:val="20"/>
          <w:color w:val="auto"/>
        </w:rPr>
      </w:pPr>
      <w:r>
        <w:rPr>
          <w:rFonts w:ascii="Arial" w:cs="Arial" w:eastAsia="Arial" w:hAnsi="Arial"/>
          <w:sz w:val="13"/>
          <w:szCs w:val="13"/>
          <w:color w:val="auto"/>
        </w:rPr>
        <w:t>Part III incorporates information by reference to the registrant’s definitive proxy statement, to be filed with the Securities and Exchange Commission within 120 days after the close of the fiscal year.</w:t>
      </w:r>
    </w:p>
    <w:p>
      <w:pPr>
        <w:sectPr>
          <w:pgSz w:w="11900" w:h="16838" w:orient="portrait"/>
          <w:cols w:equalWidth="0" w:num="1">
            <w:col w:w="11420"/>
          </w:cols>
          <w:pgMar w:left="240" w:top="52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14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696"/>
        </w:trPr>
        <w:tc>
          <w:tcPr>
            <w:tcW w:w="9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860" w:type="dxa"/>
            <w:vAlign w:val="bottom"/>
            <w:gridSpan w:val="7"/>
          </w:tcPr>
          <w:p>
            <w:pPr>
              <w:ind w:left="348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54"/>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Page #</w:t>
            </w:r>
          </w:p>
        </w:tc>
      </w:tr>
      <w:tr>
        <w:trPr>
          <w:trHeight w:val="250"/>
        </w:trPr>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00" w:type="dxa"/>
            <w:vAlign w:val="bottom"/>
            <w:gridSpan w:val="4"/>
          </w:tcPr>
          <w:p>
            <w:pPr>
              <w:jc w:val="center"/>
              <w:ind w:right="4560"/>
              <w:spacing w:after="0"/>
              <w:rPr>
                <w:rFonts w:ascii="Arial" w:cs="Arial" w:eastAsia="Arial" w:hAnsi="Arial"/>
                <w:sz w:val="18"/>
                <w:szCs w:val="18"/>
                <w:color w:val="auto"/>
                <w:w w:val="92"/>
              </w:rPr>
            </w:pPr>
            <w:hyperlink w:anchor="page3">
              <w:r>
                <w:rPr>
                  <w:rFonts w:ascii="Arial" w:cs="Arial" w:eastAsia="Arial" w:hAnsi="Arial"/>
                  <w:sz w:val="18"/>
                  <w:szCs w:val="18"/>
                  <w:color w:val="auto"/>
                  <w:w w:val="92"/>
                </w:rPr>
                <w:t>PART I</w:t>
              </w:r>
            </w:hyperlink>
          </w:p>
        </w:tc>
        <w:tc>
          <w:tcPr>
            <w:tcW w:w="76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r>
      <w:tr>
        <w:trPr>
          <w:trHeight w:val="291"/>
        </w:trPr>
        <w:tc>
          <w:tcPr>
            <w:tcW w:w="980" w:type="dxa"/>
            <w:vAlign w:val="bottom"/>
          </w:tcPr>
          <w:p>
            <w:pPr>
              <w:ind w:left="40"/>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300" w:type="dxa"/>
            <w:vAlign w:val="bottom"/>
          </w:tcPr>
          <w:p>
            <w:pPr>
              <w:spacing w:after="0"/>
              <w:rPr>
                <w:sz w:val="24"/>
                <w:szCs w:val="24"/>
                <w:color w:val="auto"/>
              </w:rPr>
            </w:pPr>
          </w:p>
        </w:tc>
        <w:tc>
          <w:tcPr>
            <w:tcW w:w="3760" w:type="dxa"/>
            <w:vAlign w:val="bottom"/>
            <w:gridSpan w:val="3"/>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Business</w:t>
              </w:r>
            </w:hyperlink>
          </w:p>
        </w:tc>
        <w:tc>
          <w:tcPr>
            <w:tcW w:w="540" w:type="dxa"/>
            <w:vAlign w:val="bottom"/>
            <w:tcBorders>
              <w:top w:val="single" w:sz="8" w:color="auto"/>
            </w:tcBorders>
          </w:tcPr>
          <w:p>
            <w:pPr>
              <w:spacing w:after="0"/>
              <w:rPr>
                <w:sz w:val="24"/>
                <w:szCs w:val="24"/>
                <w:color w:val="auto"/>
              </w:rPr>
            </w:pPr>
          </w:p>
        </w:tc>
        <w:tc>
          <w:tcPr>
            <w:tcW w:w="4560" w:type="dxa"/>
            <w:vAlign w:val="bottom"/>
            <w:gridSpan w:val="3"/>
          </w:tcPr>
          <w:p>
            <w:pPr>
              <w:spacing w:after="0"/>
              <w:rPr>
                <w:sz w:val="24"/>
                <w:szCs w:val="24"/>
                <w:color w:val="auto"/>
              </w:rPr>
            </w:pPr>
          </w:p>
        </w:tc>
        <w:tc>
          <w:tcPr>
            <w:tcW w:w="1260" w:type="dxa"/>
            <w:vAlign w:val="bottom"/>
            <w:gridSpan w:val="2"/>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8">
              <w:r>
                <w:rPr>
                  <w:rFonts w:ascii="Arial" w:cs="Arial" w:eastAsia="Arial" w:hAnsi="Arial"/>
                  <w:sz w:val="18"/>
                  <w:szCs w:val="18"/>
                  <w:color w:val="auto"/>
                </w:rPr>
                <w:t>Item 1A.</w:t>
              </w:r>
            </w:hyperlink>
          </w:p>
        </w:tc>
        <w:tc>
          <w:tcPr>
            <w:tcW w:w="9160" w:type="dxa"/>
            <w:vAlign w:val="bottom"/>
            <w:gridSpan w:val="8"/>
          </w:tcPr>
          <w:p>
            <w:pPr>
              <w:ind w:left="300"/>
              <w:spacing w:after="0"/>
              <w:rPr>
                <w:rFonts w:ascii="Arial" w:cs="Arial" w:eastAsia="Arial" w:hAnsi="Arial"/>
                <w:sz w:val="18"/>
                <w:szCs w:val="18"/>
                <w:color w:val="auto"/>
              </w:rPr>
            </w:pPr>
            <w:hyperlink w:anchor="page8">
              <w:r>
                <w:rPr>
                  <w:rFonts w:ascii="Arial" w:cs="Arial" w:eastAsia="Arial" w:hAnsi="Arial"/>
                  <w:sz w:val="18"/>
                  <w:szCs w:val="18"/>
                  <w:color w:val="auto"/>
                </w:rPr>
                <w:t>Risk Factors</w:t>
              </w:r>
            </w:hyperlink>
          </w:p>
        </w:tc>
        <w:tc>
          <w:tcPr>
            <w:tcW w:w="1260" w:type="dxa"/>
            <w:vAlign w:val="bottom"/>
            <w:gridSpan w:val="2"/>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12">
              <w:r>
                <w:rPr>
                  <w:rFonts w:ascii="Arial" w:cs="Arial" w:eastAsia="Arial" w:hAnsi="Arial"/>
                  <w:sz w:val="18"/>
                  <w:szCs w:val="18"/>
                  <w:color w:val="auto"/>
                </w:rPr>
                <w:t>Item 1B.</w:t>
              </w:r>
            </w:hyperlink>
          </w:p>
        </w:tc>
        <w:tc>
          <w:tcPr>
            <w:tcW w:w="9160" w:type="dxa"/>
            <w:vAlign w:val="bottom"/>
            <w:gridSpan w:val="8"/>
          </w:tcPr>
          <w:p>
            <w:pPr>
              <w:ind w:left="300"/>
              <w:spacing w:after="0"/>
              <w:rPr>
                <w:rFonts w:ascii="Arial" w:cs="Arial" w:eastAsia="Arial" w:hAnsi="Arial"/>
                <w:sz w:val="18"/>
                <w:szCs w:val="18"/>
                <w:color w:val="auto"/>
              </w:rPr>
            </w:pPr>
            <w:hyperlink w:anchor="page12">
              <w:r>
                <w:rPr>
                  <w:rFonts w:ascii="Arial" w:cs="Arial" w:eastAsia="Arial" w:hAnsi="Arial"/>
                  <w:sz w:val="18"/>
                  <w:szCs w:val="18"/>
                  <w:color w:val="auto"/>
                </w:rPr>
                <w:t>Unresolved Staff Comments</w:t>
              </w:r>
            </w:hyperlink>
          </w:p>
        </w:tc>
        <w:tc>
          <w:tcPr>
            <w:tcW w:w="1260" w:type="dxa"/>
            <w:vAlign w:val="bottom"/>
            <w:gridSpan w:val="2"/>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12</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12">
              <w:r>
                <w:rPr>
                  <w:rFonts w:ascii="Arial" w:cs="Arial" w:eastAsia="Arial" w:hAnsi="Arial"/>
                  <w:sz w:val="18"/>
                  <w:szCs w:val="18"/>
                  <w:color w:val="auto"/>
                </w:rPr>
                <w:t>Item 2.</w:t>
              </w:r>
            </w:hyperlink>
          </w:p>
        </w:tc>
        <w:tc>
          <w:tcPr>
            <w:tcW w:w="9160" w:type="dxa"/>
            <w:vAlign w:val="bottom"/>
            <w:gridSpan w:val="8"/>
          </w:tcPr>
          <w:p>
            <w:pPr>
              <w:ind w:left="300"/>
              <w:spacing w:after="0"/>
              <w:rPr>
                <w:rFonts w:ascii="Arial" w:cs="Arial" w:eastAsia="Arial" w:hAnsi="Arial"/>
                <w:sz w:val="18"/>
                <w:szCs w:val="18"/>
                <w:color w:val="auto"/>
              </w:rPr>
            </w:pPr>
            <w:hyperlink w:anchor="page12">
              <w:r>
                <w:rPr>
                  <w:rFonts w:ascii="Arial" w:cs="Arial" w:eastAsia="Arial" w:hAnsi="Arial"/>
                  <w:sz w:val="18"/>
                  <w:szCs w:val="18"/>
                  <w:color w:val="auto"/>
                </w:rPr>
                <w:t>Properties</w:t>
              </w:r>
            </w:hyperlink>
          </w:p>
        </w:tc>
        <w:tc>
          <w:tcPr>
            <w:tcW w:w="1260" w:type="dxa"/>
            <w:vAlign w:val="bottom"/>
            <w:gridSpan w:val="2"/>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12</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13">
              <w:r>
                <w:rPr>
                  <w:rFonts w:ascii="Arial" w:cs="Arial" w:eastAsia="Arial" w:hAnsi="Arial"/>
                  <w:sz w:val="18"/>
                  <w:szCs w:val="18"/>
                  <w:color w:val="auto"/>
                </w:rPr>
                <w:t>Item 3.</w:t>
              </w:r>
            </w:hyperlink>
          </w:p>
        </w:tc>
        <w:tc>
          <w:tcPr>
            <w:tcW w:w="9160" w:type="dxa"/>
            <w:vAlign w:val="bottom"/>
            <w:gridSpan w:val="8"/>
          </w:tcPr>
          <w:p>
            <w:pPr>
              <w:ind w:left="300"/>
              <w:spacing w:after="0"/>
              <w:rPr>
                <w:rFonts w:ascii="Arial" w:cs="Arial" w:eastAsia="Arial" w:hAnsi="Arial"/>
                <w:sz w:val="18"/>
                <w:szCs w:val="18"/>
                <w:color w:val="auto"/>
              </w:rPr>
            </w:pPr>
            <w:hyperlink w:anchor="page13">
              <w:r>
                <w:rPr>
                  <w:rFonts w:ascii="Arial" w:cs="Arial" w:eastAsia="Arial" w:hAnsi="Arial"/>
                  <w:sz w:val="18"/>
                  <w:szCs w:val="18"/>
                  <w:color w:val="auto"/>
                </w:rPr>
                <w:t>Legal Proceedings</w:t>
              </w:r>
            </w:hyperlink>
          </w:p>
        </w:tc>
        <w:tc>
          <w:tcPr>
            <w:tcW w:w="1260" w:type="dxa"/>
            <w:vAlign w:val="bottom"/>
            <w:gridSpan w:val="2"/>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13</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13">
              <w:r>
                <w:rPr>
                  <w:rFonts w:ascii="Arial" w:cs="Arial" w:eastAsia="Arial" w:hAnsi="Arial"/>
                  <w:sz w:val="18"/>
                  <w:szCs w:val="18"/>
                  <w:color w:val="auto"/>
                </w:rPr>
                <w:t>Item 4.</w:t>
              </w:r>
            </w:hyperlink>
          </w:p>
        </w:tc>
        <w:tc>
          <w:tcPr>
            <w:tcW w:w="9160" w:type="dxa"/>
            <w:vAlign w:val="bottom"/>
            <w:gridSpan w:val="8"/>
          </w:tcPr>
          <w:p>
            <w:pPr>
              <w:ind w:left="300"/>
              <w:spacing w:after="0"/>
              <w:rPr>
                <w:rFonts w:ascii="Arial" w:cs="Arial" w:eastAsia="Arial" w:hAnsi="Arial"/>
                <w:sz w:val="18"/>
                <w:szCs w:val="18"/>
                <w:color w:val="auto"/>
              </w:rPr>
            </w:pPr>
            <w:hyperlink w:anchor="page13">
              <w:r>
                <w:rPr>
                  <w:rFonts w:ascii="Arial" w:cs="Arial" w:eastAsia="Arial" w:hAnsi="Arial"/>
                  <w:sz w:val="18"/>
                  <w:szCs w:val="18"/>
                  <w:color w:val="auto"/>
                </w:rPr>
                <w:t>Mine Safety Disclosures</w:t>
              </w:r>
            </w:hyperlink>
          </w:p>
        </w:tc>
        <w:tc>
          <w:tcPr>
            <w:tcW w:w="1260" w:type="dxa"/>
            <w:vAlign w:val="bottom"/>
            <w:gridSpan w:val="2"/>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13</w:t>
              </w:r>
            </w:hyperlink>
          </w:p>
        </w:tc>
      </w:tr>
      <w:tr>
        <w:trPr>
          <w:trHeight w:val="527"/>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auto"/>
            </w:tcBorders>
            <w:gridSpan w:val="3"/>
          </w:tcPr>
          <w:p>
            <w:pPr>
              <w:jc w:val="center"/>
              <w:spacing w:after="0"/>
              <w:rPr>
                <w:rFonts w:ascii="Arial" w:cs="Arial" w:eastAsia="Arial" w:hAnsi="Arial"/>
                <w:sz w:val="18"/>
                <w:szCs w:val="18"/>
                <w:color w:val="auto"/>
                <w:w w:val="95"/>
              </w:rPr>
            </w:pPr>
            <w:hyperlink w:anchor="page14">
              <w:r>
                <w:rPr>
                  <w:rFonts w:ascii="Arial" w:cs="Arial" w:eastAsia="Arial" w:hAnsi="Arial"/>
                  <w:sz w:val="18"/>
                  <w:szCs w:val="18"/>
                  <w:color w:val="auto"/>
                  <w:w w:val="95"/>
                </w:rPr>
                <w:t>PART II</w:t>
              </w:r>
            </w:hyperlink>
          </w:p>
        </w:tc>
        <w:tc>
          <w:tcPr>
            <w:tcW w:w="452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91"/>
        </w:trPr>
        <w:tc>
          <w:tcPr>
            <w:tcW w:w="980" w:type="dxa"/>
            <w:vAlign w:val="bottom"/>
          </w:tcPr>
          <w:p>
            <w:pPr>
              <w:ind w:left="40"/>
              <w:spacing w:after="0"/>
              <w:rPr>
                <w:rFonts w:ascii="Arial" w:cs="Arial" w:eastAsia="Arial" w:hAnsi="Arial"/>
                <w:sz w:val="18"/>
                <w:szCs w:val="18"/>
                <w:color w:val="auto"/>
              </w:rPr>
            </w:pPr>
            <w:hyperlink w:anchor="page14">
              <w:r>
                <w:rPr>
                  <w:rFonts w:ascii="Arial" w:cs="Arial" w:eastAsia="Arial" w:hAnsi="Arial"/>
                  <w:sz w:val="18"/>
                  <w:szCs w:val="18"/>
                  <w:color w:val="auto"/>
                </w:rPr>
                <w:t>Item 5.</w:t>
              </w:r>
            </w:hyperlink>
          </w:p>
        </w:tc>
        <w:tc>
          <w:tcPr>
            <w:tcW w:w="9160" w:type="dxa"/>
            <w:vAlign w:val="bottom"/>
            <w:gridSpan w:val="8"/>
          </w:tcPr>
          <w:p>
            <w:pPr>
              <w:ind w:left="300"/>
              <w:spacing w:after="0"/>
              <w:rPr>
                <w:rFonts w:ascii="Arial" w:cs="Arial" w:eastAsia="Arial" w:hAnsi="Arial"/>
                <w:sz w:val="18"/>
                <w:szCs w:val="18"/>
                <w:color w:val="auto"/>
                <w:w w:val="99"/>
              </w:rPr>
            </w:pPr>
            <w:hyperlink w:anchor="page14">
              <w:r>
                <w:rPr>
                  <w:rFonts w:ascii="Arial" w:cs="Arial" w:eastAsia="Arial" w:hAnsi="Arial"/>
                  <w:sz w:val="18"/>
                  <w:szCs w:val="18"/>
                  <w:color w:val="auto"/>
                  <w:w w:val="99"/>
                </w:rPr>
                <w:t>Market for Registrant’s Common Equity, Related Stockholder Matters and Issuer Purchases of Equity Securities</w:t>
              </w:r>
            </w:hyperlink>
          </w:p>
        </w:tc>
        <w:tc>
          <w:tcPr>
            <w:tcW w:w="1260" w:type="dxa"/>
            <w:vAlign w:val="bottom"/>
            <w:gridSpan w:val="2"/>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14</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16">
              <w:r>
                <w:rPr>
                  <w:rFonts w:ascii="Arial" w:cs="Arial" w:eastAsia="Arial" w:hAnsi="Arial"/>
                  <w:sz w:val="18"/>
                  <w:szCs w:val="18"/>
                  <w:color w:val="auto"/>
                </w:rPr>
                <w:t>Item 6.</w:t>
              </w:r>
            </w:hyperlink>
          </w:p>
        </w:tc>
        <w:tc>
          <w:tcPr>
            <w:tcW w:w="9160" w:type="dxa"/>
            <w:vAlign w:val="bottom"/>
            <w:gridSpan w:val="8"/>
          </w:tcPr>
          <w:p>
            <w:pPr>
              <w:ind w:left="300"/>
              <w:spacing w:after="0"/>
              <w:rPr>
                <w:rFonts w:ascii="Arial" w:cs="Arial" w:eastAsia="Arial" w:hAnsi="Arial"/>
                <w:sz w:val="18"/>
                <w:szCs w:val="18"/>
                <w:color w:val="auto"/>
              </w:rPr>
            </w:pPr>
            <w:hyperlink w:anchor="page16">
              <w:r>
                <w:rPr>
                  <w:rFonts w:ascii="Arial" w:cs="Arial" w:eastAsia="Arial" w:hAnsi="Arial"/>
                  <w:sz w:val="18"/>
                  <w:szCs w:val="18"/>
                  <w:color w:val="auto"/>
                </w:rPr>
                <w:t>Selected Financial Data</w:t>
              </w:r>
            </w:hyperlink>
          </w:p>
        </w:tc>
        <w:tc>
          <w:tcPr>
            <w:tcW w:w="1260" w:type="dxa"/>
            <w:vAlign w:val="bottom"/>
            <w:gridSpan w:val="2"/>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16</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17">
              <w:r>
                <w:rPr>
                  <w:rFonts w:ascii="Arial" w:cs="Arial" w:eastAsia="Arial" w:hAnsi="Arial"/>
                  <w:sz w:val="18"/>
                  <w:szCs w:val="18"/>
                  <w:color w:val="auto"/>
                </w:rPr>
                <w:t>Item 7.</w:t>
              </w:r>
            </w:hyperlink>
          </w:p>
        </w:tc>
        <w:tc>
          <w:tcPr>
            <w:tcW w:w="9160" w:type="dxa"/>
            <w:vAlign w:val="bottom"/>
            <w:gridSpan w:val="8"/>
          </w:tcPr>
          <w:p>
            <w:pPr>
              <w:ind w:left="300"/>
              <w:spacing w:after="0"/>
              <w:rPr>
                <w:rFonts w:ascii="Arial" w:cs="Arial" w:eastAsia="Arial" w:hAnsi="Arial"/>
                <w:sz w:val="18"/>
                <w:szCs w:val="18"/>
                <w:color w:val="auto"/>
              </w:rPr>
            </w:pPr>
            <w:hyperlink w:anchor="page17">
              <w:r>
                <w:rPr>
                  <w:rFonts w:ascii="Arial" w:cs="Arial" w:eastAsia="Arial" w:hAnsi="Arial"/>
                  <w:sz w:val="18"/>
                  <w:szCs w:val="18"/>
                  <w:color w:val="auto"/>
                </w:rPr>
                <w:t>Management’s Discussion and Analysis of Financial Condition and Results of Operations</w:t>
              </w:r>
            </w:hyperlink>
          </w:p>
        </w:tc>
        <w:tc>
          <w:tcPr>
            <w:tcW w:w="1260" w:type="dxa"/>
            <w:vAlign w:val="bottom"/>
            <w:gridSpan w:val="2"/>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p>
        </w:tc>
      </w:tr>
      <w:tr>
        <w:trPr>
          <w:trHeight w:val="270"/>
        </w:trPr>
        <w:tc>
          <w:tcPr>
            <w:tcW w:w="980" w:type="dxa"/>
            <w:vAlign w:val="bottom"/>
          </w:tcPr>
          <w:p>
            <w:pPr>
              <w:ind w:left="40"/>
              <w:spacing w:after="0"/>
              <w:rPr>
                <w:sz w:val="20"/>
                <w:szCs w:val="20"/>
                <w:color w:val="auto"/>
              </w:rPr>
            </w:pPr>
            <w:r>
              <w:rPr>
                <w:rFonts w:ascii="Arial" w:cs="Arial" w:eastAsia="Arial" w:hAnsi="Arial"/>
                <w:sz w:val="18"/>
                <w:szCs w:val="18"/>
                <w:color w:val="auto"/>
              </w:rPr>
              <w:t>Item 7A.</w:t>
            </w:r>
          </w:p>
        </w:tc>
        <w:tc>
          <w:tcPr>
            <w:tcW w:w="9160" w:type="dxa"/>
            <w:vAlign w:val="bottom"/>
            <w:gridSpan w:val="8"/>
          </w:tcPr>
          <w:p>
            <w:pPr>
              <w:ind w:left="300"/>
              <w:spacing w:after="0"/>
              <w:rPr>
                <w:sz w:val="20"/>
                <w:szCs w:val="20"/>
                <w:color w:val="auto"/>
              </w:rPr>
            </w:pPr>
            <w:r>
              <w:rPr>
                <w:rFonts w:ascii="Arial" w:cs="Arial" w:eastAsia="Arial" w:hAnsi="Arial"/>
                <w:sz w:val="18"/>
                <w:szCs w:val="18"/>
                <w:color w:val="auto"/>
              </w:rPr>
              <w:t>Quantitative and Qualitative Disclosures About Market Risk</w:t>
            </w:r>
          </w:p>
        </w:tc>
        <w:tc>
          <w:tcPr>
            <w:tcW w:w="1260" w:type="dxa"/>
            <w:vAlign w:val="bottom"/>
            <w:gridSpan w:val="2"/>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24">
              <w:r>
                <w:rPr>
                  <w:rFonts w:ascii="Arial" w:cs="Arial" w:eastAsia="Arial" w:hAnsi="Arial"/>
                  <w:sz w:val="18"/>
                  <w:szCs w:val="18"/>
                  <w:color w:val="auto"/>
                </w:rPr>
                <w:t>Item 8.</w:t>
              </w:r>
            </w:hyperlink>
          </w:p>
        </w:tc>
        <w:tc>
          <w:tcPr>
            <w:tcW w:w="9160" w:type="dxa"/>
            <w:vAlign w:val="bottom"/>
            <w:gridSpan w:val="8"/>
          </w:tcPr>
          <w:p>
            <w:pPr>
              <w:ind w:left="300"/>
              <w:spacing w:after="0"/>
              <w:rPr>
                <w:rFonts w:ascii="Arial" w:cs="Arial" w:eastAsia="Arial" w:hAnsi="Arial"/>
                <w:sz w:val="18"/>
                <w:szCs w:val="18"/>
                <w:color w:val="auto"/>
              </w:rPr>
            </w:pPr>
            <w:hyperlink w:anchor="page24">
              <w:r>
                <w:rPr>
                  <w:rFonts w:ascii="Arial" w:cs="Arial" w:eastAsia="Arial" w:hAnsi="Arial"/>
                  <w:sz w:val="18"/>
                  <w:szCs w:val="18"/>
                  <w:color w:val="auto"/>
                </w:rPr>
                <w:t>Financial Statements and Supplementary Data</w:t>
              </w:r>
            </w:hyperlink>
          </w:p>
        </w:tc>
        <w:tc>
          <w:tcPr>
            <w:tcW w:w="1260" w:type="dxa"/>
            <w:vAlign w:val="bottom"/>
            <w:gridSpan w:val="2"/>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56">
              <w:r>
                <w:rPr>
                  <w:rFonts w:ascii="Arial" w:cs="Arial" w:eastAsia="Arial" w:hAnsi="Arial"/>
                  <w:sz w:val="18"/>
                  <w:szCs w:val="18"/>
                  <w:color w:val="auto"/>
                </w:rPr>
                <w:t>Item 9.</w:t>
              </w:r>
            </w:hyperlink>
          </w:p>
        </w:tc>
        <w:tc>
          <w:tcPr>
            <w:tcW w:w="9160" w:type="dxa"/>
            <w:vAlign w:val="bottom"/>
            <w:gridSpan w:val="8"/>
          </w:tcPr>
          <w:p>
            <w:pPr>
              <w:ind w:left="300"/>
              <w:spacing w:after="0"/>
              <w:rPr>
                <w:rFonts w:ascii="Arial" w:cs="Arial" w:eastAsia="Arial" w:hAnsi="Arial"/>
                <w:sz w:val="18"/>
                <w:szCs w:val="18"/>
                <w:color w:val="auto"/>
              </w:rPr>
            </w:pPr>
            <w:hyperlink w:anchor="page56">
              <w:r>
                <w:rPr>
                  <w:rFonts w:ascii="Arial" w:cs="Arial" w:eastAsia="Arial" w:hAnsi="Arial"/>
                  <w:sz w:val="18"/>
                  <w:szCs w:val="18"/>
                  <w:color w:val="auto"/>
                </w:rPr>
                <w:t>Changes in and Disagreements with Accountants on Accounting and Financial Disclosure</w:t>
              </w:r>
            </w:hyperlink>
          </w:p>
        </w:tc>
        <w:tc>
          <w:tcPr>
            <w:tcW w:w="1260" w:type="dxa"/>
            <w:vAlign w:val="bottom"/>
            <w:gridSpan w:val="2"/>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56</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56">
              <w:r>
                <w:rPr>
                  <w:rFonts w:ascii="Arial" w:cs="Arial" w:eastAsia="Arial" w:hAnsi="Arial"/>
                  <w:sz w:val="18"/>
                  <w:szCs w:val="18"/>
                  <w:color w:val="auto"/>
                </w:rPr>
                <w:t>Item 9A.</w:t>
              </w:r>
            </w:hyperlink>
          </w:p>
        </w:tc>
        <w:tc>
          <w:tcPr>
            <w:tcW w:w="300" w:type="dxa"/>
            <w:vAlign w:val="bottom"/>
          </w:tcPr>
          <w:p>
            <w:pPr>
              <w:spacing w:after="0"/>
              <w:rPr>
                <w:sz w:val="23"/>
                <w:szCs w:val="23"/>
                <w:color w:val="auto"/>
              </w:rPr>
            </w:pPr>
          </w:p>
        </w:tc>
        <w:tc>
          <w:tcPr>
            <w:tcW w:w="8860" w:type="dxa"/>
            <w:vAlign w:val="bottom"/>
            <w:gridSpan w:val="7"/>
          </w:tcPr>
          <w:p>
            <w:pPr>
              <w:ind w:left="20"/>
              <w:spacing w:after="0"/>
              <w:rPr>
                <w:rFonts w:ascii="Arial" w:cs="Arial" w:eastAsia="Arial" w:hAnsi="Arial"/>
                <w:sz w:val="18"/>
                <w:szCs w:val="18"/>
                <w:color w:val="auto"/>
              </w:rPr>
            </w:pPr>
            <w:hyperlink w:anchor="page56">
              <w:r>
                <w:rPr>
                  <w:rFonts w:ascii="Arial" w:cs="Arial" w:eastAsia="Arial" w:hAnsi="Arial"/>
                  <w:sz w:val="18"/>
                  <w:szCs w:val="18"/>
                  <w:color w:val="auto"/>
                </w:rPr>
                <w:t>Controls and Procedures</w:t>
              </w:r>
            </w:hyperlink>
          </w:p>
        </w:tc>
        <w:tc>
          <w:tcPr>
            <w:tcW w:w="1260" w:type="dxa"/>
            <w:vAlign w:val="bottom"/>
            <w:gridSpan w:val="2"/>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56</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59">
              <w:r>
                <w:rPr>
                  <w:rFonts w:ascii="Arial" w:cs="Arial" w:eastAsia="Arial" w:hAnsi="Arial"/>
                  <w:sz w:val="18"/>
                  <w:szCs w:val="18"/>
                  <w:color w:val="auto"/>
                </w:rPr>
                <w:t>Item 9B.</w:t>
              </w:r>
            </w:hyperlink>
          </w:p>
        </w:tc>
        <w:tc>
          <w:tcPr>
            <w:tcW w:w="300" w:type="dxa"/>
            <w:vAlign w:val="bottom"/>
          </w:tcPr>
          <w:p>
            <w:pPr>
              <w:spacing w:after="0"/>
              <w:rPr>
                <w:sz w:val="23"/>
                <w:szCs w:val="23"/>
                <w:color w:val="auto"/>
              </w:rPr>
            </w:pPr>
          </w:p>
        </w:tc>
        <w:tc>
          <w:tcPr>
            <w:tcW w:w="8860" w:type="dxa"/>
            <w:vAlign w:val="bottom"/>
            <w:gridSpan w:val="7"/>
          </w:tcPr>
          <w:p>
            <w:pPr>
              <w:ind w:left="20"/>
              <w:spacing w:after="0"/>
              <w:rPr>
                <w:rFonts w:ascii="Arial" w:cs="Arial" w:eastAsia="Arial" w:hAnsi="Arial"/>
                <w:sz w:val="18"/>
                <w:szCs w:val="18"/>
                <w:color w:val="auto"/>
              </w:rPr>
            </w:pPr>
            <w:hyperlink w:anchor="page59">
              <w:r>
                <w:rPr>
                  <w:rFonts w:ascii="Arial" w:cs="Arial" w:eastAsia="Arial" w:hAnsi="Arial"/>
                  <w:sz w:val="18"/>
                  <w:szCs w:val="18"/>
                  <w:color w:val="auto"/>
                </w:rPr>
                <w:t>Other Information</w:t>
              </w:r>
            </w:hyperlink>
          </w:p>
        </w:tc>
        <w:tc>
          <w:tcPr>
            <w:tcW w:w="1260" w:type="dxa"/>
            <w:vAlign w:val="bottom"/>
            <w:gridSpan w:val="2"/>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59</w:t>
              </w:r>
            </w:hyperlink>
          </w:p>
        </w:tc>
      </w:tr>
      <w:tr>
        <w:trPr>
          <w:trHeight w:val="527"/>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160" w:type="dxa"/>
            <w:vAlign w:val="bottom"/>
            <w:gridSpan w:val="6"/>
          </w:tcPr>
          <w:p>
            <w:pPr>
              <w:jc w:val="center"/>
              <w:ind w:right="4500"/>
              <w:spacing w:after="0"/>
              <w:rPr>
                <w:rFonts w:ascii="Arial" w:cs="Arial" w:eastAsia="Arial" w:hAnsi="Arial"/>
                <w:sz w:val="18"/>
                <w:szCs w:val="18"/>
                <w:color w:val="auto"/>
                <w:w w:val="96"/>
              </w:rPr>
            </w:pPr>
            <w:hyperlink w:anchor="page59">
              <w:r>
                <w:rPr>
                  <w:rFonts w:ascii="Arial" w:cs="Arial" w:eastAsia="Arial" w:hAnsi="Arial"/>
                  <w:sz w:val="18"/>
                  <w:szCs w:val="18"/>
                  <w:color w:val="auto"/>
                  <w:w w:val="96"/>
                </w:rPr>
                <w:t>PART III</w:t>
              </w:r>
            </w:hyperlink>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291"/>
        </w:trPr>
        <w:tc>
          <w:tcPr>
            <w:tcW w:w="980" w:type="dxa"/>
            <w:vAlign w:val="bottom"/>
          </w:tcPr>
          <w:p>
            <w:pPr>
              <w:ind w:left="40"/>
              <w:spacing w:after="0"/>
              <w:rPr>
                <w:rFonts w:ascii="Arial" w:cs="Arial" w:eastAsia="Arial" w:hAnsi="Arial"/>
                <w:sz w:val="18"/>
                <w:szCs w:val="18"/>
                <w:color w:val="auto"/>
              </w:rPr>
            </w:pPr>
            <w:hyperlink w:anchor="page59">
              <w:r>
                <w:rPr>
                  <w:rFonts w:ascii="Arial" w:cs="Arial" w:eastAsia="Arial" w:hAnsi="Arial"/>
                  <w:sz w:val="18"/>
                  <w:szCs w:val="18"/>
                  <w:color w:val="auto"/>
                </w:rPr>
                <w:t>Item 10.</w:t>
              </w:r>
            </w:hyperlink>
          </w:p>
        </w:tc>
        <w:tc>
          <w:tcPr>
            <w:tcW w:w="300" w:type="dxa"/>
            <w:vAlign w:val="bottom"/>
          </w:tcPr>
          <w:p>
            <w:pPr>
              <w:spacing w:after="0"/>
              <w:rPr>
                <w:sz w:val="24"/>
                <w:szCs w:val="24"/>
                <w:color w:val="auto"/>
              </w:rPr>
            </w:pPr>
          </w:p>
        </w:tc>
        <w:tc>
          <w:tcPr>
            <w:tcW w:w="8860" w:type="dxa"/>
            <w:vAlign w:val="bottom"/>
            <w:gridSpan w:val="7"/>
          </w:tcPr>
          <w:p>
            <w:pPr>
              <w:ind w:left="20"/>
              <w:spacing w:after="0"/>
              <w:rPr>
                <w:rFonts w:ascii="Arial" w:cs="Arial" w:eastAsia="Arial" w:hAnsi="Arial"/>
                <w:sz w:val="18"/>
                <w:szCs w:val="18"/>
                <w:color w:val="auto"/>
              </w:rPr>
            </w:pPr>
            <w:hyperlink w:anchor="page59">
              <w:r>
                <w:rPr>
                  <w:rFonts w:ascii="Arial" w:cs="Arial" w:eastAsia="Arial" w:hAnsi="Arial"/>
                  <w:sz w:val="18"/>
                  <w:szCs w:val="18"/>
                  <w:color w:val="auto"/>
                </w:rPr>
                <w:t>Directors, Executive Officers and Corporate Governance</w:t>
              </w:r>
            </w:hyperlink>
          </w:p>
        </w:tc>
        <w:tc>
          <w:tcPr>
            <w:tcW w:w="1260" w:type="dxa"/>
            <w:vAlign w:val="bottom"/>
            <w:gridSpan w:val="2"/>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59</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59">
              <w:r>
                <w:rPr>
                  <w:rFonts w:ascii="Arial" w:cs="Arial" w:eastAsia="Arial" w:hAnsi="Arial"/>
                  <w:sz w:val="18"/>
                  <w:szCs w:val="18"/>
                  <w:color w:val="auto"/>
                </w:rPr>
                <w:t>Item 11.</w:t>
              </w:r>
            </w:hyperlink>
          </w:p>
        </w:tc>
        <w:tc>
          <w:tcPr>
            <w:tcW w:w="300" w:type="dxa"/>
            <w:vAlign w:val="bottom"/>
          </w:tcPr>
          <w:p>
            <w:pPr>
              <w:spacing w:after="0"/>
              <w:rPr>
                <w:sz w:val="23"/>
                <w:szCs w:val="23"/>
                <w:color w:val="auto"/>
              </w:rPr>
            </w:pPr>
          </w:p>
        </w:tc>
        <w:tc>
          <w:tcPr>
            <w:tcW w:w="8860" w:type="dxa"/>
            <w:vAlign w:val="bottom"/>
            <w:gridSpan w:val="7"/>
          </w:tcPr>
          <w:p>
            <w:pPr>
              <w:ind w:left="20"/>
              <w:spacing w:after="0"/>
              <w:rPr>
                <w:rFonts w:ascii="Arial" w:cs="Arial" w:eastAsia="Arial" w:hAnsi="Arial"/>
                <w:sz w:val="18"/>
                <w:szCs w:val="18"/>
                <w:color w:val="auto"/>
              </w:rPr>
            </w:pPr>
            <w:hyperlink w:anchor="page59">
              <w:r>
                <w:rPr>
                  <w:rFonts w:ascii="Arial" w:cs="Arial" w:eastAsia="Arial" w:hAnsi="Arial"/>
                  <w:sz w:val="18"/>
                  <w:szCs w:val="18"/>
                  <w:color w:val="auto"/>
                </w:rPr>
                <w:t>Executive Compensation</w:t>
              </w:r>
            </w:hyperlink>
          </w:p>
        </w:tc>
        <w:tc>
          <w:tcPr>
            <w:tcW w:w="1260" w:type="dxa"/>
            <w:vAlign w:val="bottom"/>
            <w:gridSpan w:val="2"/>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59</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60">
              <w:r>
                <w:rPr>
                  <w:rFonts w:ascii="Arial" w:cs="Arial" w:eastAsia="Arial" w:hAnsi="Arial"/>
                  <w:sz w:val="18"/>
                  <w:szCs w:val="18"/>
                  <w:color w:val="auto"/>
                </w:rPr>
                <w:t>Item 12.</w:t>
              </w:r>
            </w:hyperlink>
          </w:p>
        </w:tc>
        <w:tc>
          <w:tcPr>
            <w:tcW w:w="9160" w:type="dxa"/>
            <w:vAlign w:val="bottom"/>
            <w:gridSpan w:val="8"/>
          </w:tcPr>
          <w:p>
            <w:pPr>
              <w:ind w:left="300"/>
              <w:spacing w:after="0"/>
              <w:rPr>
                <w:rFonts w:ascii="Arial" w:cs="Arial" w:eastAsia="Arial" w:hAnsi="Arial"/>
                <w:sz w:val="18"/>
                <w:szCs w:val="18"/>
                <w:color w:val="auto"/>
              </w:rPr>
            </w:pPr>
            <w:hyperlink w:anchor="page60">
              <w:r>
                <w:rPr>
                  <w:rFonts w:ascii="Arial" w:cs="Arial" w:eastAsia="Arial" w:hAnsi="Arial"/>
                  <w:sz w:val="18"/>
                  <w:szCs w:val="18"/>
                  <w:color w:val="auto"/>
                </w:rPr>
                <w:t>Security Ownership of Certain Beneficial Owners and Management and Related Stockholder Matters</w:t>
              </w:r>
            </w:hyperlink>
          </w:p>
        </w:tc>
        <w:tc>
          <w:tcPr>
            <w:tcW w:w="1260" w:type="dxa"/>
            <w:vAlign w:val="bottom"/>
            <w:gridSpan w:val="2"/>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60</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60">
              <w:r>
                <w:rPr>
                  <w:rFonts w:ascii="Arial" w:cs="Arial" w:eastAsia="Arial" w:hAnsi="Arial"/>
                  <w:sz w:val="18"/>
                  <w:szCs w:val="18"/>
                  <w:color w:val="auto"/>
                </w:rPr>
                <w:t>Item 13.</w:t>
              </w:r>
            </w:hyperlink>
          </w:p>
        </w:tc>
        <w:tc>
          <w:tcPr>
            <w:tcW w:w="300" w:type="dxa"/>
            <w:vAlign w:val="bottom"/>
          </w:tcPr>
          <w:p>
            <w:pPr>
              <w:spacing w:after="0"/>
              <w:rPr>
                <w:sz w:val="23"/>
                <w:szCs w:val="23"/>
                <w:color w:val="auto"/>
              </w:rPr>
            </w:pPr>
          </w:p>
        </w:tc>
        <w:tc>
          <w:tcPr>
            <w:tcW w:w="8860" w:type="dxa"/>
            <w:vAlign w:val="bottom"/>
            <w:gridSpan w:val="7"/>
          </w:tcPr>
          <w:p>
            <w:pPr>
              <w:ind w:left="20"/>
              <w:spacing w:after="0"/>
              <w:rPr>
                <w:rFonts w:ascii="Arial" w:cs="Arial" w:eastAsia="Arial" w:hAnsi="Arial"/>
                <w:sz w:val="18"/>
                <w:szCs w:val="18"/>
                <w:color w:val="auto"/>
              </w:rPr>
            </w:pPr>
            <w:hyperlink w:anchor="page60">
              <w:r>
                <w:rPr>
                  <w:rFonts w:ascii="Arial" w:cs="Arial" w:eastAsia="Arial" w:hAnsi="Arial"/>
                  <w:sz w:val="18"/>
                  <w:szCs w:val="18"/>
                  <w:color w:val="auto"/>
                </w:rPr>
                <w:t>Certain Relationships and Related Transactions, and Director Independence</w:t>
              </w:r>
            </w:hyperlink>
          </w:p>
        </w:tc>
        <w:tc>
          <w:tcPr>
            <w:tcW w:w="1260" w:type="dxa"/>
            <w:vAlign w:val="bottom"/>
            <w:gridSpan w:val="2"/>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60</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60">
              <w:r>
                <w:rPr>
                  <w:rFonts w:ascii="Arial" w:cs="Arial" w:eastAsia="Arial" w:hAnsi="Arial"/>
                  <w:sz w:val="18"/>
                  <w:szCs w:val="18"/>
                  <w:color w:val="auto"/>
                </w:rPr>
                <w:t>Item 14.</w:t>
              </w:r>
            </w:hyperlink>
          </w:p>
        </w:tc>
        <w:tc>
          <w:tcPr>
            <w:tcW w:w="300" w:type="dxa"/>
            <w:vAlign w:val="bottom"/>
          </w:tcPr>
          <w:p>
            <w:pPr>
              <w:spacing w:after="0"/>
              <w:rPr>
                <w:sz w:val="23"/>
                <w:szCs w:val="23"/>
                <w:color w:val="auto"/>
              </w:rPr>
            </w:pPr>
          </w:p>
        </w:tc>
        <w:tc>
          <w:tcPr>
            <w:tcW w:w="8860" w:type="dxa"/>
            <w:vAlign w:val="bottom"/>
            <w:gridSpan w:val="7"/>
          </w:tcPr>
          <w:p>
            <w:pPr>
              <w:ind w:left="20"/>
              <w:spacing w:after="0"/>
              <w:rPr>
                <w:rFonts w:ascii="Arial" w:cs="Arial" w:eastAsia="Arial" w:hAnsi="Arial"/>
                <w:sz w:val="18"/>
                <w:szCs w:val="18"/>
                <w:color w:val="auto"/>
              </w:rPr>
            </w:pPr>
            <w:hyperlink w:anchor="page60">
              <w:r>
                <w:rPr>
                  <w:rFonts w:ascii="Arial" w:cs="Arial" w:eastAsia="Arial" w:hAnsi="Arial"/>
                  <w:sz w:val="18"/>
                  <w:szCs w:val="18"/>
                  <w:color w:val="auto"/>
                </w:rPr>
                <w:t>Principal Accounting Fees and Services</w:t>
              </w:r>
            </w:hyperlink>
          </w:p>
        </w:tc>
        <w:tc>
          <w:tcPr>
            <w:tcW w:w="1260" w:type="dxa"/>
            <w:vAlign w:val="bottom"/>
            <w:gridSpan w:val="2"/>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60</w:t>
              </w:r>
            </w:hyperlink>
          </w:p>
        </w:tc>
      </w:tr>
      <w:tr>
        <w:trPr>
          <w:trHeight w:val="527"/>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160" w:type="dxa"/>
            <w:vAlign w:val="bottom"/>
            <w:gridSpan w:val="6"/>
          </w:tcPr>
          <w:p>
            <w:pPr>
              <w:jc w:val="center"/>
              <w:ind w:right="4500"/>
              <w:spacing w:after="0"/>
              <w:rPr>
                <w:rFonts w:ascii="Arial" w:cs="Arial" w:eastAsia="Arial" w:hAnsi="Arial"/>
                <w:sz w:val="18"/>
                <w:szCs w:val="18"/>
                <w:color w:val="auto"/>
                <w:w w:val="94"/>
              </w:rPr>
            </w:pPr>
            <w:hyperlink w:anchor="page61">
              <w:r>
                <w:rPr>
                  <w:rFonts w:ascii="Arial" w:cs="Arial" w:eastAsia="Arial" w:hAnsi="Arial"/>
                  <w:sz w:val="18"/>
                  <w:szCs w:val="18"/>
                  <w:color w:val="auto"/>
                  <w:w w:val="94"/>
                </w:rPr>
                <w:t>PART IV</w:t>
              </w:r>
            </w:hyperlink>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91"/>
        </w:trPr>
        <w:tc>
          <w:tcPr>
            <w:tcW w:w="980" w:type="dxa"/>
            <w:vAlign w:val="bottom"/>
          </w:tcPr>
          <w:p>
            <w:pPr>
              <w:ind w:left="40"/>
              <w:spacing w:after="0"/>
              <w:rPr>
                <w:rFonts w:ascii="Arial" w:cs="Arial" w:eastAsia="Arial" w:hAnsi="Arial"/>
                <w:sz w:val="18"/>
                <w:szCs w:val="18"/>
                <w:color w:val="auto"/>
              </w:rPr>
            </w:pPr>
            <w:hyperlink w:anchor="page61">
              <w:r>
                <w:rPr>
                  <w:rFonts w:ascii="Arial" w:cs="Arial" w:eastAsia="Arial" w:hAnsi="Arial"/>
                  <w:sz w:val="18"/>
                  <w:szCs w:val="18"/>
                  <w:color w:val="auto"/>
                </w:rPr>
                <w:t>Item 15.</w:t>
              </w:r>
            </w:hyperlink>
          </w:p>
        </w:tc>
        <w:tc>
          <w:tcPr>
            <w:tcW w:w="300" w:type="dxa"/>
            <w:vAlign w:val="bottom"/>
          </w:tcPr>
          <w:p>
            <w:pPr>
              <w:spacing w:after="0"/>
              <w:rPr>
                <w:sz w:val="24"/>
                <w:szCs w:val="24"/>
                <w:color w:val="auto"/>
              </w:rPr>
            </w:pPr>
          </w:p>
        </w:tc>
        <w:tc>
          <w:tcPr>
            <w:tcW w:w="3700" w:type="dxa"/>
            <w:vAlign w:val="bottom"/>
          </w:tcPr>
          <w:p>
            <w:pPr>
              <w:ind w:left="20"/>
              <w:spacing w:after="0"/>
              <w:rPr>
                <w:rFonts w:ascii="Arial" w:cs="Arial" w:eastAsia="Arial" w:hAnsi="Arial"/>
                <w:sz w:val="18"/>
                <w:szCs w:val="18"/>
                <w:color w:val="auto"/>
              </w:rPr>
            </w:pPr>
            <w:hyperlink w:anchor="page61">
              <w:r>
                <w:rPr>
                  <w:rFonts w:ascii="Arial" w:cs="Arial" w:eastAsia="Arial" w:hAnsi="Arial"/>
                  <w:sz w:val="18"/>
                  <w:szCs w:val="18"/>
                  <w:color w:val="auto"/>
                </w:rPr>
                <w:t>Exhibits, Financial Statement Schedules</w:t>
              </w:r>
            </w:hyperlink>
          </w:p>
        </w:tc>
        <w:tc>
          <w:tcPr>
            <w:tcW w:w="660" w:type="dxa"/>
            <w:vAlign w:val="bottom"/>
            <w:tcBorders>
              <w:top w:val="single" w:sz="8" w:color="auto"/>
            </w:tcBorders>
            <w:gridSpan w:val="5"/>
          </w:tcPr>
          <w:p>
            <w:pPr>
              <w:spacing w:after="0"/>
              <w:rPr>
                <w:sz w:val="24"/>
                <w:szCs w:val="24"/>
                <w:color w:val="auto"/>
              </w:rPr>
            </w:pPr>
          </w:p>
        </w:tc>
        <w:tc>
          <w:tcPr>
            <w:tcW w:w="4500" w:type="dxa"/>
            <w:vAlign w:val="bottom"/>
          </w:tcPr>
          <w:p>
            <w:pPr>
              <w:spacing w:after="0"/>
              <w:rPr>
                <w:sz w:val="24"/>
                <w:szCs w:val="24"/>
                <w:color w:val="auto"/>
              </w:rPr>
            </w:pPr>
          </w:p>
        </w:tc>
        <w:tc>
          <w:tcPr>
            <w:tcW w:w="1260" w:type="dxa"/>
            <w:vAlign w:val="bottom"/>
            <w:gridSpan w:val="2"/>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61</w:t>
              </w:r>
            </w:hyperlink>
          </w:p>
        </w:tc>
      </w:tr>
      <w:tr>
        <w:trPr>
          <w:trHeight w:val="270"/>
        </w:trPr>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60" w:type="dxa"/>
            <w:vAlign w:val="bottom"/>
            <w:gridSpan w:val="7"/>
          </w:tcPr>
          <w:p>
            <w:pPr>
              <w:ind w:left="20"/>
              <w:spacing w:after="0"/>
              <w:rPr>
                <w:rFonts w:ascii="Arial" w:cs="Arial" w:eastAsia="Arial" w:hAnsi="Arial"/>
                <w:sz w:val="18"/>
                <w:szCs w:val="18"/>
                <w:color w:val="auto"/>
              </w:rPr>
            </w:pPr>
            <w:hyperlink w:anchor="page64">
              <w:r>
                <w:rPr>
                  <w:rFonts w:ascii="Arial" w:cs="Arial" w:eastAsia="Arial" w:hAnsi="Arial"/>
                  <w:sz w:val="18"/>
                  <w:szCs w:val="18"/>
                  <w:color w:val="auto"/>
                </w:rPr>
                <w:t>Signatures</w:t>
              </w:r>
            </w:hyperlink>
          </w:p>
        </w:tc>
        <w:tc>
          <w:tcPr>
            <w:tcW w:w="1260" w:type="dxa"/>
            <w:vAlign w:val="bottom"/>
            <w:gridSpan w:val="2"/>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64</w:t>
              </w:r>
            </w:hyperlink>
          </w:p>
        </w:tc>
      </w:tr>
    </w:tbl>
    <w:p>
      <w:pPr>
        <w:spacing w:after="0" w:line="225" w:lineRule="exact"/>
        <w:rPr>
          <w:sz w:val="20"/>
          <w:szCs w:val="20"/>
          <w:color w:val="auto"/>
        </w:rPr>
      </w:pPr>
    </w:p>
    <w:p>
      <w:pPr>
        <w:jc w:val="both"/>
        <w:ind w:firstLine="338"/>
        <w:spacing w:after="0" w:line="292" w:lineRule="auto"/>
        <w:rPr>
          <w:sz w:val="20"/>
          <w:szCs w:val="20"/>
          <w:color w:val="auto"/>
        </w:rPr>
      </w:pPr>
      <w:r>
        <w:rPr>
          <w:rFonts w:ascii="Arial" w:cs="Arial" w:eastAsia="Arial" w:hAnsi="Arial"/>
          <w:sz w:val="16"/>
          <w:szCs w:val="16"/>
          <w:b w:val="1"/>
          <w:bCs w:val="1"/>
          <w:color w:val="auto"/>
        </w:rPr>
        <w:t xml:space="preserve">“Safe Harbor” Statement under the Securities Litigation Reform Act of 1995: </w:t>
      </w:r>
      <w:r>
        <w:rPr>
          <w:rFonts w:ascii="Arial" w:cs="Arial" w:eastAsia="Arial" w:hAnsi="Arial"/>
          <w:sz w:val="16"/>
          <w:szCs w:val="16"/>
          <w:color w:val="auto"/>
        </w:rPr>
        <w:t>This Annual Report on Form 10-K contains certain forward-looking</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within the meaning of the Private Securities Litigation Reform Act of 1995 that involve risks and uncertainties. The terms “may,” “should,” “could,” “anticipate,” “believe,” “continues,” “estimate,” “expect,” “intend,” “objective,” “plan,” “potential,” “project” and similar expressions are intended to identify forward-looking statements. These statements are not guarantees of future performance and involve risks, uncertainties and assumptions that are difficult to predict. These statements are based on management’s current expectations, intentions or beliefs and are subject to a number of factors, assumptions and uncertainties that could cause actual results to differ materially from those described in the forward-looking statements. Factors that could cause or contribute to such differences or that might otherwise impact the business include the risk factors set forth in Item 1A of this Form 10-K.</w:t>
      </w:r>
    </w:p>
    <w:p>
      <w:pPr>
        <w:spacing w:after="0" w:line="179"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The Company undertakes no obligation to update any such factors, assumptions and uncertainties or to publicly announce the results of any revisions to any forward-looking statements contained herein whether as a result of new information, future events or otherwise. Any references to our website in this Annual Report on Form 10-K are not and should not be considered an incorporation of information including on our website into this Annual Report on Form 10-K.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Lawson Products, Inc. (“Lawson”, the “Company”, “we”, “our”, or “us”) was incorporated in Illinois in 1952, and reincorporated in Delaware in 1982.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Lawson serves the industrial, commercial, institutional and government Maintenance, Repair and Operations ("MRO") market.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vision is to be our customers' first choice for maintenance, repair and operational solutions that improve their operating performance. We plan to achieve our vision by working closely with our customers to maintain and enhance their operations by providing them with quality products, superior service and innovative solutions.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Competition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MRO industrial distribution industry is comprised of companies that buy and stock products in bulk and supply these products to customers on an as needed basis. The customer benefits from our knowledge and the convenience of ordering smaller quantities maintained by MRO suppliers. We estimate that total annual revenue generated by the North American MRO marketplace exceeds $130 billion.</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There is a significant amount of competitive fragmentation by geography and product within the industry. We encounter competition from several national distributors and manufacturers and a large number of regional and local distributors. Some competitors have greater financial and personnel resources, handle more extensive lines of merchandise, operate larger facilities and price some merchandise more competitively than we do.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With the acquisition of The Bolt Supply House Ltd. ("Bolt") in 2017, we now operate in two reportable segments, the Lawson operating segment and the Bolt operating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Lawson Segment</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Through the Lawson operating segment, we deliver quality products to our customers and offer them extensive product knowledge, product application expertise and Vendor Managed Inventory ("VMI") services. Our broad geographic sales coverage allows us to serve large multi-location customers. We compete for business primarily by offering a value-added service approach in which our highly trained sales representatives manage the product inventory for our customers. The VMI model makes it less likely that our customers will unintentionally run out of a product while optimizing their inventory levels.</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Sales orders are primarily generated from our sales representatives; however, customers can also order directly from our website or through our customer service team via fax or phone. We ship products to customers in all 50 states, Puerto Rico, Canada, Mexico and the Caribbean. We normally ship to our customers within one day of order placement.</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MRO distribution process normally entails the purchase of product from suppliers in bulk for delivery to our packaging and distribution facility in McCook, Illinois (“McCook Facility”) for possible repackaging, labeling or cross-docking. Product is then either stocked at the McCook Facility or delivered to one of our strategically located distribution centers. As orders are received, product is picked, packed and shipped to our customers. Many factors affect the efficiency of this process including the physical design of the distribution centers, routing logistics, the number of times the product needs to be handled, transportation costs and the flexibility to meet the specific requirements of our customers.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October 1, 2018 we acquired Screw Products, Inc. ("SPI"), a regional distributor of bulk industrial products to large manufacturers and job shops.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SPI, with revenues of less than 1% of the Company's total revenues, will be reported as part of the Lawson MRO reporting segment.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auto"/>
        </w:rPr>
        <w:t>Bolt Segment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Bolt operating segment primarily delivers products to its customers through 14 branches located in Alberta, Saskatchewan, Manitoba, and British Columbia, Canada. Bolt generates sales from walk up business at its branch locations and through its sales team, phone, fax or the Internet. Bolt inventory is delivered to the packaging and distribution facility in Calgary, Alberta, and then distributed to each branch location. Sales generated via its sales team or through phone, fax or Internet orders are primarily shipped from one of the branch locations to the customer. The majority of Bolt's customers are located in the geographic vicinity of the retail branches. Bolt generally does not offer VMI service to its customers. Bolt generated 10.5% of the Company's annual 2018 sales. Bolt product offerings are listed on the Bolt website and are available in each of the retail branch locations.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Purchased inventory is delivered to the packaging and distribution center in Calgary, Alberta. Based on forecasted demand, product is picked, packed and shipped to the branch locations where the product is available for sale to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Company Reporting Status</w:t>
      </w:r>
    </w:p>
    <w:p>
      <w:pPr>
        <w:spacing w:after="0" w:line="22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In 2018 the SEC revised the requirements to be qualified as a smaller reporting company. The Company meets the revised smaller reporting company requirements, and elected to be classified as a smaller reporting company. The Company will report its results in this Annual Report on Form 10-K in accordance with the smaller reporting company requirements and in its reports filed with the SEC going forward.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2018, the Lawson segment sold products to over 71,000 identified customers and the Bolt segment sold products to over 11,000 identified customers in addition to the walk up customers at its 14 branch locations. Our largest customer accounted for approximately three percent of net sales. In 2018, approximately 80% of our net sales were generated in the United States and approximately 20% in Canada. The percentage of sales in Canada increased in 2018 compared to 2017 due to the ownership of Bolt for an entire year. Our customers operate in a variety of industries including automotive repair, commercial vehicle maintenance, government, manufacturing, food processing, distribution, construction, oil and gas, mining, wholesale, service and others. Although seasonality is not significant in our business, due to fewer selling days during the holiday season, net sales in the fourth quarter are historically slightly lower than the first three quarters of the year.</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customers include a wide range of purchasers of industrial supply products from small repair shops to large national and governmental accounts.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Historically, we have been very effective selling to and servicing small and medium sized customer locations that value our service approach.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product offerings are listed on our websites and in catalogs distributed to our customers. Sales percentages by broad product categories of our product mix in 2018 were as follows: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Product Category</w:t>
            </w:r>
          </w:p>
        </w:tc>
        <w:tc>
          <w:tcPr>
            <w:tcW w:w="2620" w:type="dxa"/>
            <w:vAlign w:val="bottom"/>
          </w:tcPr>
          <w:p>
            <w:pPr>
              <w:ind w:left="900"/>
              <w:spacing w:after="0"/>
              <w:rPr>
                <w:sz w:val="20"/>
                <w:szCs w:val="20"/>
                <w:color w:val="auto"/>
              </w:rPr>
            </w:pPr>
            <w:r>
              <w:rPr>
                <w:rFonts w:ascii="Arial" w:cs="Arial" w:eastAsia="Arial" w:hAnsi="Arial"/>
                <w:sz w:val="18"/>
                <w:szCs w:val="18"/>
                <w:color w:val="auto"/>
              </w:rPr>
              <w:t>Percentage</w:t>
            </w:r>
          </w:p>
        </w:tc>
      </w:tr>
      <w:tr>
        <w:trPr>
          <w:trHeight w:val="27"/>
        </w:trPr>
        <w:tc>
          <w:tcPr>
            <w:tcW w:w="8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Fastening systems</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24%</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Cutting tools and abrasives</w:t>
            </w: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15%</w:t>
            </w: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Fluid power</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14%</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Specialty chemicals</w:t>
            </w: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12%</w:t>
            </w: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Electrical</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Aftermarket automotive supplies</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8%</w:t>
            </w: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Safety</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Welding and metal repair</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2%</w:t>
            </w: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7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9%</w:t>
            </w:r>
          </w:p>
        </w:tc>
      </w:tr>
      <w:tr>
        <w:trPr>
          <w:trHeight w:val="237"/>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Lawson segment offers over 160,000 different products for sale of which over 72,000 products are maintained in our distribution centers. We strive to carry sufficient inventory to ensure product availability and rapid processing of customer orders. Accurate forecasting of customer demand is essential to establish the proper level of inventory for each product. Inventory levels need to be sufficient to meet customer demand while avoiding the costs of stocking excess items.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4" w:name="page5"/>
    <w:bookmarkEnd w:id="4"/>
    <w:p>
      <w:pPr>
        <w:jc w:val="both"/>
        <w:ind w:right="20" w:firstLine="324"/>
        <w:spacing w:after="0" w:line="342" w:lineRule="auto"/>
        <w:rPr>
          <w:sz w:val="20"/>
          <w:szCs w:val="20"/>
          <w:color w:val="auto"/>
        </w:rPr>
      </w:pPr>
      <w:r>
        <w:rPr>
          <w:rFonts w:ascii="Arial" w:cs="Arial" w:eastAsia="Arial" w:hAnsi="Arial"/>
          <w:sz w:val="16"/>
          <w:szCs w:val="16"/>
          <w:color w:val="auto"/>
        </w:rPr>
        <w:t>During 2018, our Lawson segment purchased products from approximately 2,500 suppliers and no single supplier accounted for more than six percent of our purchases. The loss of one of our core suppliers could affect our operations by hindering our ability to provide full service to our customers.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quality control department tests our product offerings to ensure they meet our customers' specifications. We recommend solutions to help customers maximize product performance and avoid costly product failures. Our engineering department provides technical support for our products and offers on-site problem solutions. It also develops and presents product safety and technical training seminars tailored to meet our customers' needs. Safety Data Sheets are maintained electronically and are available to our customers on our website.</w:t>
      </w:r>
    </w:p>
    <w:p>
      <w:pPr>
        <w:spacing w:after="0" w:line="187"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Bolt offers over 36,000 different core products for sale of which over 19,000 products are maintained in the Calgary distribution center. The majority of inventory is kept in the Calgary distribution center, with each retail branch maintaining appropriate inventory levels for their business needs.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organization supports a culture of continuous improvement and emphasizes the importance of addressing the needs of our customers. We require our employees to act with integrity in every aspect of our business while encouraging them to be results driven, team oriented and progressive.</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31, 2018, our combined workforce included approximately 1,740 individuals, comprised of approximately 1,230 in sales and marketing, approximately 400 in operation and distribution and approximately 110 in management and administration. Approximately 1,610 of the 1,740 individuals are within the Lawson segment and the remaining are within Bolt. Approximately 9% of the workforce is covered by three collective bargaining agreements. We believe that our relations with our employees and their collective bargaining organizations are good.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Team</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December 31, 2018, the Lawson sales and marketing team consisted of approximately 1,230 individuals focused on servicing existing customers, identifying new customers, providing customer service support and providing on-site customer service. Of the total sales team, 994 are sales representatives who are primarily organized into geographical regions. The performance of each region is the responsibility of a Regional Sales Director. Each region is further divided into geographically defined districts. The performance of each district is the responsibility of a District Sales Manager who reports to the Regional Sales Director. Our District Sales Managers work with the sales representatives to generate sales from new and existing customers. Lawson also has a team dedicated to the acquisition of larger national and mid-market accounts and a team dedicated to serving governmental accounts. The national accounts are comprised of multi-location customers with a national scope.</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Lawson sales team receives education in the best uses of products, enabling them to provide customized solutions to address customers' needs including technical expertise and on-site problem resolution. The VMI services Lawson offers consist of managing customers' inventory, ordering the right products in the optimal quantity and stocking the product for customers when the product is delivered. The sales team also periodically provides product presentations to customers that are designed to demonstrate how the products can improve their productivity. Additionally, Lawson sales representatives offer customized storage systems for improved organization and a more efficient work-flow.</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majority of Bolt sales are made from its 14 branch locations. Bolt has approximately 30 sales territory managers who serve companies and professional tradespeople throughout Western Canada. In 2017, Bolt began requiring members of the sales teams to be certified as Certified Sales Professionals for the Canadian Professional Sales Association. All newly-hired sales team members are required to receive and maintain the same certification.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Focus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2019, we intend to grow our sales organically and through acquisitions and further improve our operations to make Lawson our customers' first choice for products, services and solutions that improve their operating performance.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sales are impacted by the size of our sales team and its territorial coverage. Our plan to expand the sales force is designed to identify under served territories that offer the greatest potential growth opportunity, locate and recruit talented sales representatives, provide them with the proper training, and successfully integrate them into our organization.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5" w:name="page6"/>
    <w:bookmarkEnd w:id="5"/>
    <w:p>
      <w:pPr>
        <w:jc w:val="both"/>
        <w:ind w:firstLine="324"/>
        <w:spacing w:after="0" w:line="297" w:lineRule="auto"/>
        <w:rPr>
          <w:sz w:val="20"/>
          <w:szCs w:val="20"/>
          <w:color w:val="auto"/>
        </w:rPr>
      </w:pPr>
      <w:r>
        <w:rPr>
          <w:rFonts w:ascii="Arial" w:cs="Arial" w:eastAsia="Arial" w:hAnsi="Arial"/>
          <w:sz w:val="16"/>
          <w:szCs w:val="16"/>
          <w:color w:val="auto"/>
        </w:rPr>
        <w:t>To acquire the best new sales talent and prepare them for success, we have developed an extensive talent acquisition strategy. We use both internal and external resources to identify and recruit the best available sales talent. Our training program is intended to provide new sales representatives with the tools they need to maximize their sales potential. As we increase our sales coverage, we anticipate a short-term decrease in average sales per day per sales representative, as new representatives build up customer relationships in their territories. However, we believe that these short-term investments will result in future opportunities as we leverage the positive impact of top-line growth against our operating costs which are fixed to a significant extent.</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also focused on increasing the productivity of our sales representatives. We strive to empower our sales representatives with the training, technology and support they need to maximize their sales potential while providing our customers with superior service and making it easy for them to do business with us.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organic growth, we plan to continue to actively pursue acquisition opportunities that we believe are financially accretive to our organization. As with Bolt and SPI, Lawson will continue to explore growth opportunities in the MRO space that provide different channels to reach customers, increase sales and generate positive results.</w:t>
      </w:r>
    </w:p>
    <w:p>
      <w:pPr>
        <w:spacing w:after="0" w:line="1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order to improve our operations, we utilize a Lean Six Sigma approach, which is a set of tools that allow a project team to analyze and improve selected business processes. The project teams work with the process owners to develop statistical measures to evaluate the effectiveness of the process, document the current components and process flow, examine the root cause of defects</w:t>
      </w:r>
    </w:p>
    <w:p>
      <w:pPr>
        <w:jc w:val="both"/>
        <w:spacing w:after="0" w:line="255" w:lineRule="auto"/>
        <w:rPr>
          <w:sz w:val="20"/>
          <w:szCs w:val="20"/>
          <w:color w:val="auto"/>
        </w:rPr>
      </w:pPr>
      <w:r>
        <w:rPr>
          <w:rFonts w:ascii="Arial" w:cs="Arial" w:eastAsia="Arial" w:hAnsi="Arial"/>
          <w:sz w:val="18"/>
          <w:szCs w:val="18"/>
          <w:color w:val="auto"/>
        </w:rPr>
        <w:t>and effect of current operations, design and implement new ways to improve performance and then measure the results for effectiveness. The Lean Six Sigma process is ingrained in our culture as we have had over 100 employees complete Lean Six Sigma training over the past four years and plan to continue this training program in the years to come.</w:t>
      </w:r>
    </w:p>
    <w:p>
      <w:pPr>
        <w:spacing w:after="0" w:line="1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our emphasis on continuous improvement will lead to further reductions in error rates, increased processing speed, reduction in cycle times, standardization of procedures and elimination of waste. This will enable us to become a more efficient and effective organization which provides our customers with the best purchasing experience possible.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We file or furnish annual reports on Form 10-K, quarterly reports on Form 10-Q, current reports on Form 8-K and file or furnish amendments to those reports pursuant to Section 13(a) or 15(d) of the Exchange Act and Section 16 reports with the Securities and Exchange Commission (“SEC”). The public can obtain copies of these materials by accessing the SEC's website at http://www.sec.gov. In addition, as soon as reasonably practicable after such materials are filed with or furnished to the SEC, we make copies available to the public free of charge through our website at </w:t>
      </w:r>
      <w:r>
        <w:rPr>
          <w:rFonts w:ascii="Arial" w:cs="Arial" w:eastAsia="Arial" w:hAnsi="Arial"/>
          <w:sz w:val="17"/>
          <w:szCs w:val="17"/>
          <w:i w:val="1"/>
          <w:iCs w:val="1"/>
          <w:color w:val="auto"/>
        </w:rPr>
        <w:t>www.lawsonproducts.com</w:t>
      </w:r>
      <w:r>
        <w:rPr>
          <w:rFonts w:ascii="Arial" w:cs="Arial" w:eastAsia="Arial" w:hAnsi="Arial"/>
          <w:sz w:val="17"/>
          <w:szCs w:val="17"/>
          <w:color w:val="auto"/>
        </w:rPr>
        <w:t xml:space="preserve"> or by calling (773) 304-5050. Information on our website is not incorporated by reference into this report. We also make available on our website our Code of Ethics, Corporate Governance Principles and the charters of the committees of our Board of Directors.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executive officers of Lawson as of February 1, 2019 were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Year First</w:t>
            </w:r>
          </w:p>
        </w:tc>
        <w:tc>
          <w:tcPr>
            <w:tcW w:w="73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Elected to</w:t>
            </w:r>
          </w:p>
        </w:tc>
        <w:tc>
          <w:tcPr>
            <w:tcW w:w="73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Present</w:t>
            </w:r>
          </w:p>
        </w:tc>
        <w:tc>
          <w:tcPr>
            <w:tcW w:w="7360" w:type="dxa"/>
            <w:vAlign w:val="bottom"/>
          </w:tcPr>
          <w:p>
            <w:pPr>
              <w:spacing w:after="0"/>
              <w:rPr>
                <w:sz w:val="18"/>
                <w:szCs w:val="18"/>
                <w:color w:val="auto"/>
              </w:rPr>
            </w:pPr>
          </w:p>
        </w:tc>
      </w:tr>
      <w:tr>
        <w:trPr>
          <w:trHeight w:val="230"/>
        </w:trPr>
        <w:tc>
          <w:tcPr>
            <w:tcW w:w="2160" w:type="dxa"/>
            <w:vAlign w:val="bottom"/>
            <w:gridSpan w:val="2"/>
          </w:tcPr>
          <w:p>
            <w:pPr>
              <w:ind w:left="820"/>
              <w:spacing w:after="0"/>
              <w:rPr>
                <w:sz w:val="20"/>
                <w:szCs w:val="20"/>
                <w:color w:val="auto"/>
              </w:rPr>
            </w:pPr>
            <w:r>
              <w:rPr>
                <w:rFonts w:ascii="Arial" w:cs="Arial" w:eastAsia="Arial" w:hAnsi="Arial"/>
                <w:sz w:val="18"/>
                <w:szCs w:val="18"/>
                <w:color w:val="auto"/>
              </w:rPr>
              <w:t>Name</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Age</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Office</w:t>
            </w:r>
          </w:p>
        </w:tc>
        <w:tc>
          <w:tcPr>
            <w:tcW w:w="7360" w:type="dxa"/>
            <w:vAlign w:val="bottom"/>
          </w:tcPr>
          <w:p>
            <w:pPr>
              <w:ind w:left="3380"/>
              <w:spacing w:after="0"/>
              <w:rPr>
                <w:sz w:val="20"/>
                <w:szCs w:val="20"/>
                <w:color w:val="auto"/>
              </w:rPr>
            </w:pPr>
            <w:r>
              <w:rPr>
                <w:rFonts w:ascii="Arial" w:cs="Arial" w:eastAsia="Arial" w:hAnsi="Arial"/>
                <w:sz w:val="18"/>
                <w:szCs w:val="18"/>
                <w:color w:val="auto"/>
              </w:rPr>
              <w:t>Position</w:t>
            </w:r>
          </w:p>
        </w:tc>
      </w:tr>
      <w:tr>
        <w:trPr>
          <w:trHeight w:val="27"/>
        </w:trPr>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r>
      <w:tr>
        <w:trPr>
          <w:trHeight w:val="244"/>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G. DeCata</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Neil E. Jenkins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00" w:type="dxa"/>
            <w:vAlign w:val="bottom"/>
          </w:tcPr>
          <w:p>
            <w:pPr>
              <w:spacing w:after="0"/>
              <w:rPr>
                <w:sz w:val="21"/>
                <w:szCs w:val="21"/>
                <w:color w:val="auto"/>
              </w:rPr>
            </w:pPr>
          </w:p>
        </w:tc>
        <w:tc>
          <w:tcPr>
            <w:tcW w:w="7360" w:type="dxa"/>
            <w:vAlign w:val="bottom"/>
          </w:tcPr>
          <w:p>
            <w:pPr>
              <w:ind w:left="40"/>
              <w:spacing w:after="0"/>
              <w:rPr>
                <w:sz w:val="20"/>
                <w:szCs w:val="20"/>
                <w:color w:val="auto"/>
              </w:rPr>
            </w:pPr>
            <w:r>
              <w:rPr>
                <w:rFonts w:ascii="Arial" w:cs="Arial" w:eastAsia="Arial" w:hAnsi="Arial"/>
                <w:sz w:val="18"/>
                <w:szCs w:val="18"/>
                <w:color w:val="auto"/>
              </w:rPr>
              <w:t>Executive Vice President, Secretary and General Counsel</w:t>
            </w: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Ronald J. Knutson</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Executive Vice President, Chief Financial Officer, Treasurer and Controller</w:t>
            </w: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Matthew J. Brown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1"/>
                <w:szCs w:val="21"/>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Senior Vice President, Sales</w:t>
            </w: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43"/>
        </w:trPr>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Shane T. McCarthy</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shd w:val="clear" w:color="auto" w:fill="CCEEFF"/>
          </w:tcPr>
          <w:p>
            <w:pPr>
              <w:spacing w:after="0"/>
              <w:rPr>
                <w:sz w:val="21"/>
                <w:szCs w:val="21"/>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Supply Chain and Business Development</w:t>
            </w:r>
          </w:p>
        </w:tc>
      </w:tr>
      <w:tr>
        <w:trPr>
          <w:trHeight w:val="27"/>
        </w:trPr>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3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Biographical information for the past five years relating to each of our executive officers is set forth below.</w:t>
      </w:r>
    </w:p>
    <w:p>
      <w:pPr>
        <w:spacing w:after="0" w:line="2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Mr. DeCata </w:t>
      </w:r>
      <w:r>
        <w:rPr>
          <w:rFonts w:ascii="Arial" w:cs="Arial" w:eastAsia="Arial" w:hAnsi="Arial"/>
          <w:sz w:val="18"/>
          <w:szCs w:val="18"/>
          <w:color w:val="auto"/>
        </w:rPr>
        <w:t>was elected President and Chief Executive Officer in September 2012. Mr. DeCata previously served in a consulting capacity for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equity firms, including Hamilton Robinson Capital Partners from 2009 until 2012. Mr. DeCata previously served on the Board of Directors of Crescent Electric Supply Company from 2008 to 2013.</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Mr. Jenkins </w:t>
      </w:r>
      <w:r>
        <w:rPr>
          <w:rFonts w:ascii="Arial" w:cs="Arial" w:eastAsia="Arial" w:hAnsi="Arial"/>
          <w:sz w:val="18"/>
          <w:szCs w:val="18"/>
          <w:color w:val="auto"/>
        </w:rPr>
        <w:t>was elected Executive Vice President, Secretary and General Counsel in 2004.</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Mr. Knutson </w:t>
      </w:r>
      <w:r>
        <w:rPr>
          <w:rFonts w:ascii="Arial" w:cs="Arial" w:eastAsia="Arial" w:hAnsi="Arial"/>
          <w:sz w:val="18"/>
          <w:szCs w:val="18"/>
          <w:color w:val="auto"/>
        </w:rPr>
        <w:t>was elected Executive Vice President, Chief Financial Officer, Treasurer and Controller in April 2014 and has served as Executive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Chief Financial Officer since July 2012.</w:t>
      </w:r>
    </w:p>
    <w:p>
      <w:pPr>
        <w:spacing w:after="0" w:line="162"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b w:val="1"/>
          <w:bCs w:val="1"/>
          <w:color w:val="auto"/>
        </w:rPr>
        <w:t xml:space="preserve">Mr. Brown </w:t>
      </w:r>
      <w:r>
        <w:rPr>
          <w:rFonts w:ascii="Arial" w:cs="Arial" w:eastAsia="Arial" w:hAnsi="Arial"/>
          <w:sz w:val="16"/>
          <w:szCs w:val="16"/>
          <w:color w:val="auto"/>
        </w:rPr>
        <w:t>was elected Senior Vice President, Sales in March 2017 and served as Vice President of Field Sales since January 2016. Mr. Brown held</w:t>
      </w:r>
      <w:r>
        <w:rPr>
          <w:rFonts w:ascii="Arial" w:cs="Arial" w:eastAsia="Arial" w:hAnsi="Arial"/>
          <w:sz w:val="16"/>
          <w:szCs w:val="16"/>
          <w:b w:val="1"/>
          <w:bCs w:val="1"/>
          <w:color w:val="auto"/>
        </w:rPr>
        <w:t xml:space="preserve"> </w:t>
      </w:r>
      <w:r>
        <w:rPr>
          <w:rFonts w:ascii="Arial" w:cs="Arial" w:eastAsia="Arial" w:hAnsi="Arial"/>
          <w:sz w:val="16"/>
          <w:szCs w:val="16"/>
          <w:color w:val="auto"/>
        </w:rPr>
        <w:t>several levels of sales leadership roles for the Company over the last 18 years with the most recent title of Senior Director of Sales from 2014 to 2016.</w:t>
      </w:r>
    </w:p>
    <w:p>
      <w:pPr>
        <w:spacing w:after="0" w:line="13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Mr. McCarthy </w:t>
      </w:r>
      <w:r>
        <w:rPr>
          <w:rFonts w:ascii="Arial" w:cs="Arial" w:eastAsia="Arial" w:hAnsi="Arial"/>
          <w:sz w:val="18"/>
          <w:szCs w:val="18"/>
          <w:color w:val="auto"/>
        </w:rPr>
        <w:t>was elected Senior Vice President, Supply Chain and Business Development in December 2015 and previously served as Senior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Supply Chain since June 2014. Mr. McCarthy served as Senior Vice President, Operations from July 2012 to June 2014.</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to the other information in this Annual Report on Form 10-K for the fiscal year ended December 31, 2018, the following factors should be considered in evaluating Lawson's business. Our operating results depend upon many factors and are subject to various risks and uncertainties. The material risks and uncertainties known to us and described below may negatively affect our business operations or affect our financial results. Additional risks and uncertainties not presently known to us or that we currently deem immaterial may also impair our business operations or affect our financial results.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results of operations may be adversely impacted by a downturn in the economy or in certain sectors of the economy.</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Any decline or uncertainty in the strength of the economy may lead to a decrease in customer spending and may cause certain customers to cancel or delay placing orders. Some of our customers may file for bankruptcy protection, preventing us from collecting on accounts receivable and may result in our stocking excess inventory. Contractions in the credit markets may also cause some of our customers to experience difficulties in obtaining financing, leading to lower sales, delays in the collection of receivables and result in an increase in bad debt expense.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Adverse economic conditions could also affect our key suppliers and contractors. This could lead to us incurring additional expenses or result in delays in shipping products to our customers. Economic uncertainty can make it difficult for us to accurately predict future order activity and affect our ability to effectively manage inventory levels. There are no assurances that we would be able to establish alternative financing or obtain financing with terms similar to our present Loan Agreements.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Failure to adequately fund our operating and working capital needs through cash generated from operations and cash available through our Loan Agreements could negatively impact our ability to invest in the business and maintain our capital structure.</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business requires investment in working capital and fixed assets. We fund these investments from cash generated from operations and funds available from our Loan Agreements. Failure to generate sufficient cash flow from operations or from our Loan Agreements could cause us to have insufficient funds to operate our business. Adequate funds may not be available when needed or may not be available on favorable terms.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Failure to meet the covenant requirements of our Loan Agreements could lead to higher financing costs, increased restrictions and reduce or eliminate our ability to borrow funds.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Loan Agreements contain financial and other restrictive covenants. These covenants could adversely affect us by limiting our financial and operating flexibility as well as our ability to plan for and react to market conditions and to meet our capital needs. Failure to meet these covenant requirements could lead to higher financing costs, increased restrictions, reduce or eliminate our ability to borrow funds, or accelerate the payment of our existing indebtedness. If we require more liquidity than is currently available to us under our Loan Agreements, we may need to raise additional funds through debt or equity offerings which may not be available when needed or may not be available on terms favorable to us. Should funding be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market price of our common stock may decline.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stock price could decrease if our financial performance is inadequate or does not meet investors' expectations, if there is deterioration in the overall market for equities, if large amounts of shares are sold in the market, if there is index trading, or if investors have concerns that our business, financial condition, results of operations and capital requirements are negatively impacted by an economic downturn.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significant portion of our inventory may become obsolete.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business strategy requires us to carry a significant amount of inventory in order to meet rapid processing of customer orders. If our inventory forecasting and production planning processes result in inventory levels exceeding the levels demanded by customers or should our customers decrease their orders with us, our operating results could be adversely affected due to costs of carrying the inventory and additional inventory write-downs for excess and obsolete inventory.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Work stoppages and other disruptions at transportation centers or shipping ports may adversely affect our ability to obtain inventory and make deliveries to our customers.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ability to rapidly process customer orders is an integral component of our overall business strategy. Interruptions at our company operated facilities or disruptions at a major transportation center or shipping port, due to events such as severe weather, labor interruptions, natural disasters, acts of terrorism or other events, could affect our ability to maintain core products in inventory, deliver products to our customers on a timely basis or adversely affect demand for our products, which may in turn adversely affect our results of operations.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our customers, product mix and pricing strategy could cause our gross margin percentage to decline in the future.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have experienced overall changes in the product mix demand of our customers. When customers or product mix changes, there can be no assurance that we will be able to maintain our historical gross profit margins. Changes in our customers, product mix, volume of orders, prices charged, additional freight costs or lower productivity levels, could cause our gross profit margin percentage to decline. Our gross margin percentage may also come under pressure in the future if we increase the percentage of national accounts in our customer base, as sales to these customers are generally at lower margins.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Changes in energy costs, tariffs and the cost of raw materials used in our products could impact our cost of goods and distribution and occupancy expenses, which may result in lower operating margins.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Increases in the cost of raw materials used in our products (e.g., steel, brass), tariffs and increases in energy costs raise the production costs of our vendors. Those vendors typically look to pass the higher costs along to us through price increases. If we are unable to fully pass these increased prices and costs through to our customers or to modify our activities, the impact would have an adverse effect on our operating profit margins. Low oil prices may result in weaker demand from oil and gas customers in the future, resulting in lower net sales. Changes in trade policies could affect our sourcing of product, our ability to secure sufficient product and/or impact the cost or price of our products, with potentially negative impacts on our reported gross profits and results of operations.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Disruptions of our information and communication systems could adversely affect the Company.</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depend on our information and communication systems to process orders, purchase and manage inventory, maintain cost-effective operations, sell and ship products, manage accounts receivable collections and serve our customers. Disruptions in the operation of information and communication systems can occur due to a variety of factors including power outages, hardware failure, programming faults and human error. Disruptions in the operation of our information and communication systems, whether over a short or an extended period of time or affecting one or multiple distribution centers, could have a material adverse effect on our business, financial condition and results of operations.</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Cyber attacks or other information security breaches could have a material adverse effect on our operating results and financial condition, subject us to additional legal costs and damage our reputation in the marketplace.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increasingly dependent on digital technology to process and record financial and operating data and communicate with our employees and business partners. During the normal course of business we receive, retain and transmit certain confidential information that our customers provide to us to purchase products or services or otherwise communicate with us.</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technologies, systems, networks, and those of our business partners may become the target of cyber attacks or information security breaches that could result in the unauthorized release, misuse, loss or destruction of proprietary and other information, or other disruption of our business operations, subject us to additional legal costs and damage our reputation in the marketplace. As cyber threats continue to evolve, we may be required to expend additional resources to continue to modify or enhance our protective measures or to investigate and fix any information security vulnerabilities.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The inability to successfully recruit, integrate and retain productive sales representatives could adversely affect our operating results.</w:t>
      </w:r>
    </w:p>
    <w:p>
      <w:pPr>
        <w:spacing w:after="0" w:line="23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committed to a plan to increase the size of our sales force which we believe will lead to increased sales and improve our long-term financial results. A successful expansion in our sales force requires us to identify under served territories that offer the greatest potential growth opportunity, locate and recruit talented sales representatives, provide them with the proper training, and successfully integrate them into our organization. This expansion plan requires significant investment in capital and resources. The failure to identify the optimal sales territories, recruit and retain quality sales representatives and provide them with sufficient support could adversely affect our operating results. Additionally, we anticipate a short-term decrease in average sales per day per sales representative as new representatives build up customer relationships in their territories.</w:t>
      </w:r>
    </w:p>
    <w:p>
      <w:pPr>
        <w:spacing w:after="0" w:line="17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It is also critical to retain the experienced and productive sales representatives that have historically contributed to our success. Failure to retain a sufficient number of talented, experienced and productive sales representatives could adversely affect our financial and operating results.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Failure to retain talented employees, managers and executives could negatively impact our operating results.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success depends on our ability to attract, develop and retain talented employees, including executives and other key managers. The loss of certain key executives and managers or the failure to attract and develop talented employees could have a material adverse effect on our business.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The inability of management to successfully implement changes in operating processes, could lead to disruptions in our operations.</w:t>
      </w: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continually striving to improve operational efficiencies throughout our organization and to identify and initiate changes intended to improve our internal operations. The implementation of changes to our current operations involve a risk that the changes may not work as intended, may disrupt related processes, may not be properly applied or may not result in accomplishing the intended efficiencies. Failure to successfully manage the implementation of these changes could lead to disruptions in our operations.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The inability to successfully integrate acquisitions into our organization could adversely affect our operations and operating results.</w:t>
      </w:r>
    </w:p>
    <w:p>
      <w:pPr>
        <w:spacing w:after="0" w:line="2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One of our growth strategies is to actively pursue acquisition opportunities which compliment our service oriented business model. Failure to successfully identify the right opportunities and to successfully integrate their operations into our organization could adversely affect our operations and our operating results.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Company is exposed to the risk of foreign currency changes.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Two of our subsidiaries are located and operate in Canada using the Canadian dollar as its functional currency. Operating results are translated into U.S. dollars when consolidated into our financial statements. Therefore, we are exposed to market risk relating to the change in the value of the Canadian dollar relative to the U.S. dollar that could adversely affect our financial position and operating results.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Company operates in highly competitive markets.</w:t>
      </w:r>
    </w:p>
    <w:p>
      <w:pPr>
        <w:spacing w:after="0" w:line="225" w:lineRule="exact"/>
        <w:rPr>
          <w:sz w:val="20"/>
          <w:szCs w:val="20"/>
          <w:color w:val="auto"/>
        </w:rPr>
      </w:pPr>
    </w:p>
    <w:p>
      <w:pPr>
        <w:jc w:val="both"/>
        <w:ind w:left="40" w:firstLine="324"/>
        <w:spacing w:after="0" w:line="264" w:lineRule="auto"/>
        <w:rPr>
          <w:sz w:val="20"/>
          <w:szCs w:val="20"/>
          <w:color w:val="auto"/>
        </w:rPr>
      </w:pPr>
      <w:r>
        <w:rPr>
          <w:rFonts w:ascii="Arial" w:cs="Arial" w:eastAsia="Arial" w:hAnsi="Arial"/>
          <w:sz w:val="18"/>
          <w:szCs w:val="18"/>
          <w:color w:val="auto"/>
        </w:rPr>
        <w:t>The MRO marketplace is highly competitive. Our competitors include large and small companies with similar or greater market presence, name recognition, and financial, marketing, and other resources. We believe the competition will continue to challenge our business with their product selection, financial resources and services.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that affect governmental and other tax-supported entities could negatively impact our sales and earnings.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portion of our sales are derived from the United States military and other governmental and tax-supported entities. These entities are largely dependent upon government budgets and require adherence to certain laws and regulations. A decrease in the levels of defense and other governmental spending or the introduction of more stringent governmental regulations and oversight, could lead to reduced sales or an increase in compliance costs which would adversely affect our financial position and results of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 violation of federal, state or local environmental protection regulations could lead to significant penalties and fines or other remediation costs.</w:t>
      </w:r>
    </w:p>
    <w:p>
      <w:pPr>
        <w:spacing w:after="0" w:line="24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product offering includes a wide variety of industrial chemicals and other products which are subject to a multitude of federal, state and local regulations. These environmental protection laws change frequently and affect the composition, handling, transportation, storage and disposal of these products. Failure to comply with these regulations could lead to severe penalties and fines for each violation.</w:t>
      </w:r>
    </w:p>
    <w:p>
      <w:pPr>
        <w:spacing w:after="0" w:line="18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Additionally, a facility we own in Decatur, Alabama, was found to contain hazardous substances in the soil and groundwater as a result of historical operations prior to our ownership. We retained an environmental consulting firm to further investigate the contamination, including measurement and monitoring of the site. The Company has concluded that further remediation will most likely be required, and accordingly, has made an accrual for the estimated cost of this environmental matter. A remediation plan was approved by the Alabama Department of Environmental Management; however, the remediation approach and additional procedures may be required that could negatively impact our operating results.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results of operations could be affected by changes in taxation.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results of operations could be affected by changes in tax rates, audits by taxing authorities or changes in laws, regulations and their interpretation. Changes in applicable tax laws and regulations could continue to affect our ability to realize the deferred tax assets on our balance sheet, which could affect our results of operations.</w:t>
      </w:r>
    </w:p>
    <w:p>
      <w:pPr>
        <w:spacing w:after="0" w:line="18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b w:val="1"/>
          <w:bCs w:val="1"/>
          <w:i w:val="1"/>
          <w:iCs w:val="1"/>
          <w:color w:val="auto"/>
        </w:rPr>
        <w:t>Luther King Capital has significant influence over the Company, and this influence could delay or deter a change in control or other business combination or otherwise cause us to take actions with which you may disagree.</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January 2019 LKCM Headwater Investments, an affiliate of Luther King Capital, purchased additional shares of common stock of the Company, and as a result Luther King Capital beneficially owned 48% of the outstanding common stock of the Company. J. Bryan King, a director of the Company, is the Principal of Luther King Capital. As a result, Luther King Capital has significant influence over the outcome of matters requiring a stockholder vote, including the election of directors, and the approval of significant matters and its interests may not align with the interests of other stockholders. This concentration of ownership could also have the effect of delaying, determining or preventing a change of control or other business combination that might be beneficial to our stockholders.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2018, we owned or leased the following facilities: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Approximate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3120" w:type="dxa"/>
            <w:vAlign w:val="bottom"/>
            <w:gridSpan w:val="5"/>
          </w:tcPr>
          <w:p>
            <w:pPr>
              <w:ind w:left="40"/>
              <w:spacing w:after="0"/>
              <w:rPr>
                <w:sz w:val="20"/>
                <w:szCs w:val="20"/>
                <w:color w:val="auto"/>
              </w:rPr>
            </w:pPr>
            <w:r>
              <w:rPr>
                <w:rFonts w:ascii="Arial" w:cs="Arial" w:eastAsia="Arial" w:hAnsi="Arial"/>
                <w:sz w:val="18"/>
                <w:szCs w:val="18"/>
                <w:color w:val="auto"/>
              </w:rPr>
              <w:t>Location</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Segment</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Function</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Square Footage</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Own/Lease</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Lease Expiration</w:t>
            </w:r>
          </w:p>
        </w:tc>
      </w:tr>
      <w:tr>
        <w:trPr>
          <w:trHeight w:val="27"/>
        </w:trPr>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520"/>
        </w:trPr>
        <w:tc>
          <w:tcPr>
            <w:tcW w:w="3120" w:type="dxa"/>
            <w:vAlign w:val="bottom"/>
            <w:gridSpan w:val="5"/>
          </w:tcPr>
          <w:p>
            <w:pPr>
              <w:ind w:left="40"/>
              <w:spacing w:after="0"/>
              <w:rPr>
                <w:sz w:val="20"/>
                <w:szCs w:val="20"/>
                <w:color w:val="auto"/>
              </w:rPr>
            </w:pPr>
            <w:r>
              <w:rPr>
                <w:rFonts w:ascii="Arial" w:cs="Arial" w:eastAsia="Arial" w:hAnsi="Arial"/>
                <w:sz w:val="18"/>
                <w:szCs w:val="18"/>
                <w:color w:val="auto"/>
              </w:rPr>
              <w:t>United States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3080" w:type="dxa"/>
            <w:vAlign w:val="bottom"/>
            <w:gridSpan w:val="4"/>
            <w:shd w:val="clear" w:color="auto" w:fill="CCEEFF"/>
          </w:tcPr>
          <w:p>
            <w:pPr>
              <w:ind w:left="120"/>
              <w:spacing w:after="0" w:line="270" w:lineRule="exact"/>
              <w:rPr>
                <w:sz w:val="20"/>
                <w:szCs w:val="20"/>
                <w:color w:val="auto"/>
              </w:rPr>
            </w:pPr>
            <w:r>
              <w:rPr>
                <w:rFonts w:ascii="Arial" w:cs="Arial" w:eastAsia="Arial" w:hAnsi="Arial"/>
                <w:sz w:val="18"/>
                <w:szCs w:val="18"/>
                <w:color w:val="auto"/>
              </w:rPr>
              <w:t xml:space="preserve">Chicago, Illinois </w:t>
            </w:r>
            <w:r>
              <w:rPr>
                <w:rFonts w:ascii="Arial" w:cs="Arial" w:eastAsia="Arial" w:hAnsi="Arial"/>
                <w:sz w:val="25"/>
                <w:szCs w:val="25"/>
                <w:color w:val="auto"/>
                <w:vertAlign w:val="superscript"/>
              </w:rPr>
              <w:t>(1)</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Lawson</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Headquarters</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86,300</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2023</w:t>
            </w:r>
          </w:p>
        </w:tc>
      </w:tr>
      <w:tr>
        <w:trPr>
          <w:trHeight w:val="243"/>
        </w:trPr>
        <w:tc>
          <w:tcPr>
            <w:tcW w:w="40" w:type="dxa"/>
            <w:vAlign w:val="bottom"/>
          </w:tcPr>
          <w:p>
            <w:pPr>
              <w:spacing w:after="0"/>
              <w:rPr>
                <w:sz w:val="21"/>
                <w:szCs w:val="21"/>
                <w:color w:val="auto"/>
              </w:rPr>
            </w:pP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McCook, Illinois</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Lawson</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Packaging/Distribution</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306,800</w:t>
            </w: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June 2022</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Reno, Nevada</w:t>
            </w:r>
          </w:p>
        </w:tc>
        <w:tc>
          <w:tcPr>
            <w:tcW w:w="1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Lawson</w:t>
            </w:r>
          </w:p>
        </w:tc>
        <w:tc>
          <w:tcPr>
            <w:tcW w:w="2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Distribution</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105,200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2024</w:t>
            </w:r>
          </w:p>
        </w:tc>
      </w:tr>
      <w:tr>
        <w:trPr>
          <w:trHeight w:val="243"/>
        </w:trPr>
        <w:tc>
          <w:tcPr>
            <w:tcW w:w="40" w:type="dxa"/>
            <w:vAlign w:val="bottom"/>
          </w:tcPr>
          <w:p>
            <w:pPr>
              <w:spacing w:after="0"/>
              <w:rPr>
                <w:sz w:val="21"/>
                <w:szCs w:val="21"/>
                <w:color w:val="auto"/>
              </w:rPr>
            </w:pP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Suwanee, Georgia</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Lawson</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Distribution</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91,200</w:t>
            </w: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Own</w:t>
            </w:r>
          </w:p>
        </w:tc>
        <w:tc>
          <w:tcPr>
            <w:tcW w:w="17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080" w:type="dxa"/>
            <w:vAlign w:val="bottom"/>
            <w:gridSpan w:val="4"/>
            <w:shd w:val="clear" w:color="auto" w:fill="CCEEFF"/>
          </w:tcPr>
          <w:p>
            <w:pPr>
              <w:ind w:left="120"/>
              <w:spacing w:after="0" w:line="270" w:lineRule="exact"/>
              <w:rPr>
                <w:sz w:val="20"/>
                <w:szCs w:val="20"/>
                <w:color w:val="auto"/>
              </w:rPr>
            </w:pPr>
            <w:r>
              <w:rPr>
                <w:rFonts w:ascii="Arial" w:cs="Arial" w:eastAsia="Arial" w:hAnsi="Arial"/>
                <w:sz w:val="18"/>
                <w:szCs w:val="18"/>
                <w:color w:val="auto"/>
              </w:rPr>
              <w:t xml:space="preserve">Decatur, Alabama </w:t>
            </w:r>
            <w:r>
              <w:rPr>
                <w:rFonts w:ascii="Arial" w:cs="Arial" w:eastAsia="Arial" w:hAnsi="Arial"/>
                <w:sz w:val="25"/>
                <w:szCs w:val="25"/>
                <w:color w:val="auto"/>
                <w:vertAlign w:val="superscript"/>
              </w:rPr>
              <w:t>(2)</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Lawson</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Lease</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88,200</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Own</w:t>
            </w:r>
          </w:p>
        </w:tc>
        <w:tc>
          <w:tcPr>
            <w:tcW w:w="170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Dallas, TX</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Lawson</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Distribution</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October 2019</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Dayton, OH</w:t>
            </w:r>
          </w:p>
        </w:tc>
        <w:tc>
          <w:tcPr>
            <w:tcW w:w="1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Lawson</w:t>
            </w:r>
          </w:p>
        </w:tc>
        <w:tc>
          <w:tcPr>
            <w:tcW w:w="2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Distribution</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Monthly</w:t>
            </w:r>
          </w:p>
        </w:tc>
      </w:tr>
      <w:tr>
        <w:trPr>
          <w:trHeight w:val="324"/>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31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Canada</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Mississauga, Ontario</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Lawson</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Distribution</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78,000</w:t>
            </w: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Own</w:t>
            </w:r>
          </w:p>
        </w:tc>
        <w:tc>
          <w:tcPr>
            <w:tcW w:w="17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080" w:type="dxa"/>
            <w:vAlign w:val="bottom"/>
            <w:gridSpan w:val="4"/>
            <w:shd w:val="clear" w:color="auto" w:fill="CCEEFF"/>
          </w:tcPr>
          <w:p>
            <w:pPr>
              <w:ind w:left="120"/>
              <w:spacing w:after="0" w:line="270" w:lineRule="exact"/>
              <w:rPr>
                <w:sz w:val="20"/>
                <w:szCs w:val="20"/>
                <w:color w:val="auto"/>
              </w:rPr>
            </w:pPr>
            <w:r>
              <w:rPr>
                <w:rFonts w:ascii="Arial" w:cs="Arial" w:eastAsia="Arial" w:hAnsi="Arial"/>
                <w:sz w:val="18"/>
                <w:szCs w:val="18"/>
                <w:color w:val="auto"/>
              </w:rPr>
              <w:t xml:space="preserve">Calgary, Alberta </w:t>
            </w:r>
            <w:r>
              <w:rPr>
                <w:rFonts w:ascii="Arial" w:cs="Arial" w:eastAsia="Arial" w:hAnsi="Arial"/>
                <w:sz w:val="25"/>
                <w:szCs w:val="25"/>
                <w:color w:val="auto"/>
                <w:vertAlign w:val="superscript"/>
              </w:rPr>
              <w:t>(3)</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Lawson/Bolt</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Distribution</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43,700</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2021</w:t>
            </w:r>
          </w:p>
        </w:tc>
      </w:tr>
      <w:tr>
        <w:trPr>
          <w:trHeight w:val="243"/>
        </w:trPr>
        <w:tc>
          <w:tcPr>
            <w:tcW w:w="40" w:type="dxa"/>
            <w:vAlign w:val="bottom"/>
          </w:tcPr>
          <w:p>
            <w:pPr>
              <w:spacing w:after="0"/>
              <w:rPr>
                <w:sz w:val="21"/>
                <w:szCs w:val="21"/>
                <w:color w:val="auto"/>
              </w:rPr>
            </w:pP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Calgary, Alberta (Foothills)</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Pr>
          <w:p>
            <w:pPr>
              <w:jc w:val="center"/>
              <w:spacing w:after="0"/>
              <w:rPr>
                <w:sz w:val="20"/>
                <w:szCs w:val="20"/>
                <w:color w:val="auto"/>
              </w:rPr>
            </w:pPr>
            <w:r>
              <w:rPr>
                <w:rFonts w:ascii="Arial" w:cs="Arial" w:eastAsia="Arial" w:hAnsi="Arial"/>
                <w:sz w:val="18"/>
                <w:szCs w:val="18"/>
                <w:color w:val="auto"/>
                <w:w w:val="96"/>
              </w:rPr>
              <w:t>April 2024</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Calgary, Alberta (South)</w:t>
            </w:r>
          </w:p>
        </w:tc>
        <w:tc>
          <w:tcPr>
            <w:tcW w:w="1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November 2023</w:t>
            </w:r>
          </w:p>
        </w:tc>
      </w:tr>
      <w:tr>
        <w:trPr>
          <w:trHeight w:val="243"/>
        </w:trPr>
        <w:tc>
          <w:tcPr>
            <w:tcW w:w="40" w:type="dxa"/>
            <w:vAlign w:val="bottom"/>
          </w:tcPr>
          <w:p>
            <w:pPr>
              <w:spacing w:after="0"/>
              <w:rPr>
                <w:sz w:val="21"/>
                <w:szCs w:val="21"/>
                <w:color w:val="auto"/>
              </w:rPr>
            </w:pP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Calgary, Alberta (North)</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6,900</w:t>
            </w: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January 2024</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Edmonton, Alberta (North)</w:t>
            </w:r>
          </w:p>
        </w:tc>
        <w:tc>
          <w:tcPr>
            <w:tcW w:w="1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February 2022</w:t>
            </w:r>
          </w:p>
        </w:tc>
      </w:tr>
      <w:tr>
        <w:trPr>
          <w:trHeight w:val="243"/>
        </w:trPr>
        <w:tc>
          <w:tcPr>
            <w:tcW w:w="40" w:type="dxa"/>
            <w:vAlign w:val="bottom"/>
          </w:tcPr>
          <w:p>
            <w:pPr>
              <w:spacing w:after="0"/>
              <w:rPr>
                <w:sz w:val="21"/>
                <w:szCs w:val="21"/>
                <w:color w:val="auto"/>
              </w:rPr>
            </w:pP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Edmonton, Alberta (South)</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September 2023</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Fort McMurray, Alberta</w:t>
            </w:r>
          </w:p>
        </w:tc>
        <w:tc>
          <w:tcPr>
            <w:tcW w:w="1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March 2019</w:t>
            </w:r>
          </w:p>
        </w:tc>
      </w:tr>
      <w:tr>
        <w:trPr>
          <w:trHeight w:val="243"/>
        </w:trPr>
        <w:tc>
          <w:tcPr>
            <w:tcW w:w="40" w:type="dxa"/>
            <w:vAlign w:val="bottom"/>
          </w:tcPr>
          <w:p>
            <w:pPr>
              <w:spacing w:after="0"/>
              <w:rPr>
                <w:sz w:val="21"/>
                <w:szCs w:val="21"/>
                <w:color w:val="auto"/>
              </w:rPr>
            </w:pP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Lethbridge, Alberta</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Own</w:t>
            </w:r>
          </w:p>
        </w:tc>
        <w:tc>
          <w:tcPr>
            <w:tcW w:w="17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Medicine Hat, Alberta</w:t>
            </w:r>
          </w:p>
        </w:tc>
        <w:tc>
          <w:tcPr>
            <w:tcW w:w="1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Own</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Prince Albert, Saskatchewan</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October 2020</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Red Deer, Alberta</w:t>
            </w:r>
          </w:p>
        </w:tc>
        <w:tc>
          <w:tcPr>
            <w:tcW w:w="1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2020</w:t>
            </w:r>
          </w:p>
        </w:tc>
      </w:tr>
      <w:tr>
        <w:trPr>
          <w:trHeight w:val="243"/>
        </w:trPr>
        <w:tc>
          <w:tcPr>
            <w:tcW w:w="40" w:type="dxa"/>
            <w:vAlign w:val="bottom"/>
          </w:tcPr>
          <w:p>
            <w:pPr>
              <w:spacing w:after="0"/>
              <w:rPr>
                <w:sz w:val="21"/>
                <w:szCs w:val="21"/>
                <w:color w:val="auto"/>
              </w:rPr>
            </w:pP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Regina, Saskatchewan</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December 2019</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Saskatoon, Saskatchewan</w:t>
            </w:r>
          </w:p>
        </w:tc>
        <w:tc>
          <w:tcPr>
            <w:tcW w:w="1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May 2021</w:t>
            </w:r>
          </w:p>
        </w:tc>
      </w:tr>
      <w:tr>
        <w:trPr>
          <w:trHeight w:val="243"/>
        </w:trPr>
        <w:tc>
          <w:tcPr>
            <w:tcW w:w="40" w:type="dxa"/>
            <w:vAlign w:val="bottom"/>
          </w:tcPr>
          <w:p>
            <w:pPr>
              <w:spacing w:after="0"/>
              <w:rPr>
                <w:sz w:val="21"/>
                <w:szCs w:val="21"/>
                <w:color w:val="auto"/>
              </w:rPr>
            </w:pP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Winnipeg, Manitoba</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September 2025</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30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Port Kells, British Columbia</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August 2023</w:t>
            </w:r>
          </w:p>
        </w:tc>
      </w:tr>
      <w:tr>
        <w:trPr>
          <w:trHeight w:val="27"/>
        </w:trPr>
        <w:tc>
          <w:tcPr>
            <w:tcW w:w="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sub-leased approximately 17,100 feet of the Chicago, Illinois headquarters through June 2019 (see Note 4 - Leases).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connection with the sale of a discontinued business, we have agreed to lease the Decatur facility prior to the sale of the property (See Note 8 - Property, Plant and Equipment).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Lawson and Bolt manage separate distribution operations out of the same physical location.</w:t>
      </w:r>
    </w:p>
    <w:p>
      <w:pPr>
        <w:spacing w:after="0" w:line="225"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While we believe that our facilities are adequate to meet our current needs, we will continue to assess the location and operation of our facilities to determine whether they meet the strategic needs of our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4"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is involved in legal actions that arise in the ordinary course of business. It is the opinion of management that the resolution of any currently pending litigation will not have a material adverse effect on the Company’s financial position ,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60" w:right="540" w:hanging="647"/>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Data</w:t>
      </w:r>
    </w:p>
    <w:p>
      <w:pPr>
        <w:spacing w:after="0" w:line="229"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color w:val="auto"/>
        </w:rPr>
        <w:t>The Company’s Common Stock is traded on the NASDAQ Global Select Market under the symbol of “LAWS”. The following table sets forth the high and low sale prices as reported on the NASDAQ Global Select Market.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ind w:right="110"/>
              <w:spacing w:after="0"/>
              <w:rPr>
                <w:sz w:val="20"/>
                <w:szCs w:val="20"/>
                <w:color w:val="auto"/>
              </w:rPr>
            </w:pPr>
            <w:r>
              <w:rPr>
                <w:rFonts w:ascii="Arial" w:cs="Arial" w:eastAsia="Arial" w:hAnsi="Arial"/>
                <w:sz w:val="18"/>
                <w:szCs w:val="18"/>
                <w:color w:val="auto"/>
              </w:rPr>
              <w:t>2018</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3"/>
          </w:tcPr>
          <w:p>
            <w:pPr>
              <w:jc w:val="right"/>
              <w:ind w:right="90"/>
              <w:spacing w:after="0"/>
              <w:rPr>
                <w:sz w:val="20"/>
                <w:szCs w:val="20"/>
                <w:color w:val="auto"/>
              </w:rPr>
            </w:pPr>
            <w:r>
              <w:rPr>
                <w:rFonts w:ascii="Arial" w:cs="Arial" w:eastAsia="Arial" w:hAnsi="Arial"/>
                <w:sz w:val="18"/>
                <w:szCs w:val="18"/>
                <w:color w:val="auto"/>
              </w:rPr>
              <w:t>2017</w:t>
            </w:r>
          </w:p>
        </w:tc>
        <w:tc>
          <w:tcPr>
            <w:tcW w:w="104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color w:val="auto"/>
              </w:rPr>
              <w:t>High</w:t>
            </w:r>
          </w:p>
        </w:tc>
        <w:tc>
          <w:tcPr>
            <w:tcW w:w="32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Low</w:t>
            </w:r>
          </w:p>
        </w:tc>
        <w:tc>
          <w:tcPr>
            <w:tcW w:w="32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High</w:t>
            </w: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Low</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18.70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22.80</w:t>
            </w:r>
          </w:p>
        </w:tc>
      </w:tr>
    </w:tbl>
    <w:p>
      <w:pPr>
        <w:spacing w:after="0" w:line="134"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On January 31, 2019, the closing sales price of our common stock was $29.60 and the number of stockholders of record was 314. We did not issue dividends in either 2018 or 2017 and the Company currently has no plans to issue dividends in the foreseeable future. The amount of dividends we can issue is restricted to $7.0 million annually under our Loan and Security Agreement ("Loan Agreement"). Information about our equity compensation plans may be found in Item 12 of this report which is hereby incorporated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Repurchased Shares of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summarizes the repurchases of the Company's Common Stock for the three months ended December 31, 2018. These shares were purchased for the sole purpose of satisfying tax withholding obligations of certain employees upon the vesting of market stock units granted to them by the Company. No shares were repurchased in the open market.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(d)</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Maximum number (or</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Total number of</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approximate dollar</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shares (or units)</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value) of shares that</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(b)</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purchased as part of</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may yet be purchased</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120" w:type="dxa"/>
            <w:vAlign w:val="bottom"/>
          </w:tcPr>
          <w:p>
            <w:pPr>
              <w:spacing w:after="0"/>
              <w:rPr>
                <w:sz w:val="18"/>
                <w:szCs w:val="18"/>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Average price paid per</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publicly announced</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under the plans or</w:t>
            </w:r>
          </w:p>
        </w:tc>
      </w:tr>
      <w:tr>
        <w:trPr>
          <w:trHeight w:val="23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Period</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(or units) purchased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share (or unit)</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plans or programs</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programs</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to October 31, 2018</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29.44</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November 1 to November 30, 2018</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tcPr>
          <w:p>
            <w:pPr>
              <w:ind w:left="1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700" w:type="dxa"/>
            <w:vAlign w:val="bottom"/>
          </w:tcPr>
          <w:p>
            <w:pPr>
              <w:ind w:left="142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to December 31, 2018</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gridSpan w:val="2"/>
          </w:tcPr>
          <w:p>
            <w:pPr>
              <w:ind w:left="360"/>
              <w:spacing w:after="0"/>
              <w:rPr>
                <w:sz w:val="20"/>
                <w:szCs w:val="20"/>
                <w:color w:val="auto"/>
              </w:rPr>
            </w:pPr>
            <w:r>
              <w:rPr>
                <w:rFonts w:ascii="Arial" w:cs="Arial" w:eastAsia="Arial" w:hAnsi="Arial"/>
                <w:sz w:val="18"/>
                <w:szCs w:val="18"/>
                <w:color w:val="auto"/>
              </w:rPr>
              <w:t>Three months ended December 31, 2018</w:t>
            </w: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16,512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Stock Price Performance Chart</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Set forth below is a line graph comparing the yearly change in the cumulative total stockholder return of the Company’s common stock against the cumulative total return of the Russell 2000 Index and a peer group (the “Peer Group”) of the Company for the five prior years. The Company selected the Russell 2000 Index because Lawson is a component of the index and the market capitalization of the other member companies are similar to Lawson’s market capitalization. The Peer Group consists of W.W. Grainger, Inc., Fastenal Company, and MSC Industrial Direct. The Company believes that the Peer Group is representative of the markets it serves in terms of product sales and customers. The chart below represents the hypothetical return, including reinvestment of dividends, on $100 if it was invested on December 31, 2013 in the respective stocks or index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-13970</wp:posOffset>
            </wp:positionV>
            <wp:extent cx="5711190" cy="4570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1190"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4"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2"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The following selected financial data should be read in conjunction with the Consolidated Financial Statements of the Company and Notes thereto included in Item 8 in this Annual Report. The income statement data and balance sheet data are for, and as of the end of each of the years in the five-year period ended December 31, 2018 and are derived from the audited Consolidated Financial Statements of the Company. The results of discontinued operations have been reclassified from continuing operations for all periods presented.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20" w:type="dxa"/>
            <w:vAlign w:val="bottom"/>
            <w:gridSpan w:val="8"/>
          </w:tcPr>
          <w:p>
            <w:pPr>
              <w:ind w:left="400"/>
              <w:spacing w:after="0"/>
              <w:rPr>
                <w:sz w:val="20"/>
                <w:szCs w:val="20"/>
                <w:color w:val="auto"/>
              </w:rPr>
            </w:pPr>
            <w:r>
              <w:rPr>
                <w:rFonts w:ascii="Arial" w:cs="Arial" w:eastAsia="Arial" w:hAnsi="Arial"/>
                <w:sz w:val="16"/>
                <w:szCs w:val="16"/>
                <w:color w:val="auto"/>
              </w:rPr>
              <w:t>(Dollars in thousands, except per share data)</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7"/>
        </w:trPr>
        <w:tc>
          <w:tcPr>
            <w:tcW w:w="4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50"/>
              <w:spacing w:after="0" w:line="264" w:lineRule="exact"/>
              <w:rPr>
                <w:sz w:val="20"/>
                <w:szCs w:val="20"/>
                <w:color w:val="auto"/>
              </w:rPr>
            </w:pPr>
            <w:r>
              <w:rPr>
                <w:rFonts w:ascii="Arial" w:cs="Arial" w:eastAsia="Arial" w:hAnsi="Arial"/>
                <w:sz w:val="18"/>
                <w:szCs w:val="18"/>
                <w:color w:val="auto"/>
              </w:rPr>
              <w:t xml:space="preserve">2018 </w:t>
            </w:r>
            <w:r>
              <w:rPr>
                <w:rFonts w:ascii="Arial" w:cs="Arial" w:eastAsia="Arial" w:hAnsi="Arial"/>
                <w:sz w:val="25"/>
                <w:szCs w:val="25"/>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1"/>
              <w:spacing w:after="0" w:line="264" w:lineRule="exact"/>
              <w:rPr>
                <w:sz w:val="20"/>
                <w:szCs w:val="20"/>
                <w:color w:val="auto"/>
              </w:rPr>
            </w:pPr>
            <w:r>
              <w:rPr>
                <w:rFonts w:ascii="Arial" w:cs="Arial" w:eastAsia="Arial" w:hAnsi="Arial"/>
                <w:sz w:val="18"/>
                <w:szCs w:val="18"/>
                <w:color w:val="auto"/>
              </w:rPr>
              <w:t xml:space="preserve">2017 </w:t>
            </w:r>
            <w:r>
              <w:rPr>
                <w:rFonts w:ascii="Arial" w:cs="Arial" w:eastAsia="Arial" w:hAnsi="Arial"/>
                <w:sz w:val="25"/>
                <w:szCs w:val="25"/>
                <w:color w:val="auto"/>
                <w:vertAlign w:val="superscript"/>
              </w:rPr>
              <w:t>(2)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0"/>
              <w:spacing w:after="0" w:line="264" w:lineRule="exact"/>
              <w:rPr>
                <w:sz w:val="20"/>
                <w:szCs w:val="20"/>
                <w:color w:val="auto"/>
              </w:rPr>
            </w:pPr>
            <w:r>
              <w:rPr>
                <w:rFonts w:ascii="Arial" w:cs="Arial" w:eastAsia="Arial" w:hAnsi="Arial"/>
                <w:sz w:val="18"/>
                <w:szCs w:val="18"/>
                <w:color w:val="auto"/>
              </w:rPr>
              <w:t xml:space="preserve">2015 </w:t>
            </w:r>
            <w:r>
              <w:rPr>
                <w:rFonts w:ascii="Arial" w:cs="Arial" w:eastAsia="Arial" w:hAnsi="Arial"/>
                <w:sz w:val="25"/>
                <w:szCs w:val="25"/>
                <w:color w:val="auto"/>
                <w:vertAlign w:val="superscript"/>
              </w:rPr>
              <w:t>(3)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0"/>
              <w:spacing w:after="0" w:line="264" w:lineRule="exact"/>
              <w:rPr>
                <w:sz w:val="20"/>
                <w:szCs w:val="20"/>
                <w:color w:val="auto"/>
              </w:rPr>
            </w:pPr>
            <w:r>
              <w:rPr>
                <w:rFonts w:ascii="Arial" w:cs="Arial" w:eastAsia="Arial" w:hAnsi="Arial"/>
                <w:sz w:val="18"/>
                <w:szCs w:val="18"/>
                <w:color w:val="auto"/>
              </w:rPr>
              <w:t xml:space="preserve">2014 </w:t>
            </w:r>
            <w:r>
              <w:rPr>
                <w:rFonts w:ascii="Arial" w:cs="Arial" w:eastAsia="Arial" w:hAnsi="Arial"/>
                <w:sz w:val="25"/>
                <w:szCs w:val="25"/>
                <w:color w:val="auto"/>
                <w:vertAlign w:val="superscript"/>
              </w:rPr>
              <w:t>(4)</w:t>
            </w: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349,637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305,907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276,573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275,834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285,693</w:t>
            </w: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1,692</w:t>
            </w: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29,688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share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4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r>
      <w:tr>
        <w:trPr>
          <w:trHeight w:val="297"/>
        </w:trPr>
        <w:tc>
          <w:tcPr>
            <w:tcW w:w="41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r>
      <w:tr>
        <w:trPr>
          <w:trHeight w:val="311"/>
        </w:trPr>
        <w:tc>
          <w:tcPr>
            <w:tcW w:w="4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30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197,142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191,111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135,307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133,094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137,840</w:t>
            </w:r>
          </w:p>
        </w:tc>
      </w:tr>
      <w:tr>
        <w:trPr>
          <w:trHeight w:val="311"/>
        </w:trPr>
        <w:tc>
          <w:tcPr>
            <w:tcW w:w="4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30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Noncurrent liabilities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31,760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37,644</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34,737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35,487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37,257</w:t>
            </w:r>
          </w:p>
        </w:tc>
      </w:tr>
      <w:tr>
        <w:trPr>
          <w:trHeight w:val="311"/>
        </w:trPr>
        <w:tc>
          <w:tcPr>
            <w:tcW w:w="4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99,173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93,490</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61,133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61,264</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61,855</w:t>
            </w: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ind w:left="340" w:hanging="332"/>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2018 results from continuing operations reflect the inclusion of Bolt for the full year, as well as a $0.5 million increase in the estimated future remediation cost of an environmental matter involving land owned in Decatur, Alabama, that was part of a division that was previously sold.</w:t>
      </w:r>
    </w:p>
    <w:p>
      <w:pPr>
        <w:spacing w:after="0" w:line="146"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2017 results from continuing operations include an income tax benefit of $19.6 million primarily as a result of releasing Deferred Tax Asset ("DTA") valuation reserves of $21.2 million at December 31, 2017. 2017 also includes a $5.4 million gain on the sale of the Fairfield, New Jersey distribution center.</w:t>
      </w:r>
    </w:p>
    <w:p>
      <w:pPr>
        <w:spacing w:after="0" w:line="181"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2015 results from continuing operations include an expense of $0.9 million related to an increase in the estimated future remediation cost of an environmental matter involving land owned in Decatur, Alabama, that was part of a division that was previously sold.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2014 results from continuing operations include a $3.0 million impairment charge related to the Reno, Nevada, distribution center and a charge of $0.3 million related to the initial estimate of remediation of the environmental matter at the Decatur, Alabama, facility.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IITEM 7. MANAGEMENT’S DISCUSSION AND ANALYSIS OF FINANCIAL CONDITION AND 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are a distributor of products and services to the industrial, commercial, institutional, and governmental maintenance, repair and operations ("MRO") marketplace. With the acquisition of Bolt in October 2017, we now operate in two reportable segments. The Lawson operating segment primarily distributes MRO products to its customers through a network of sales representatives throughout the U.S. and Canada. The Bolt operating segment primarily distributes its MRO products through a network of 14 branches located in Alberta, Saskatchewan, Manitoba and British Columbia, Canada.</w:t>
      </w:r>
    </w:p>
    <w:p>
      <w:pPr>
        <w:spacing w:after="0" w:line="1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The North American MRO industry is highly fragmented. We compete for business with several national distributors as well as a large number of regional and local distributors. The MRO business is influenced by the overall strength of the manufacturing sector of the U.S. economy. One measure used to evaluate the strength of the industrial products market is the PMI index published by the Institute for Supply Management. The PMI index is a composite index of economic activity in the United States manufacturing sector and is available at </w:t>
      </w:r>
      <w:r>
        <w:rPr>
          <w:rFonts w:ascii="Arial" w:cs="Arial" w:eastAsia="Arial" w:hAnsi="Arial"/>
          <w:sz w:val="18"/>
          <w:szCs w:val="18"/>
          <w:i w:val="1"/>
          <w:iCs w:val="1"/>
          <w:color w:val="auto"/>
        </w:rPr>
        <w:t>https://www.instituteforsupplymanagement.org</w:t>
      </w:r>
      <w:r>
        <w:rPr>
          <w:rFonts w:ascii="Arial" w:cs="Arial" w:eastAsia="Arial" w:hAnsi="Arial"/>
          <w:sz w:val="17"/>
          <w:szCs w:val="17"/>
          <w:color w:val="auto"/>
        </w:rPr>
        <w:t>. A measure of that index above 50 generally indicates expansion of the manufacturing sector while a measure below 50 generally represents contraction. The average monthly PMI was 59.0 for the year ended December 31, 2018 compared to 57.5 for the year ended December 31, 2017 indicating improvement in 2018 in the U.S. manufacturing economy compared to the prior year.</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sales are also affected by the number and effectiveness of sales representatives and the amount of sales each representative can generate from providing products and services to our customers, which we measure as average sales per day per sales representative. We had an average of 994 sales representatives working for us in 2018 which was approximately the same as the number we had in 2017.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operations are examined in detail following a recap of our major activities in 2018.</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2018 Activities</w:t>
      </w:r>
    </w:p>
    <w:p>
      <w:pPr>
        <w:spacing w:after="0" w:line="225" w:lineRule="exact"/>
        <w:rPr>
          <w:sz w:val="20"/>
          <w:szCs w:val="20"/>
          <w:color w:val="auto"/>
        </w:rPr>
      </w:pPr>
    </w:p>
    <w:p>
      <w:pPr>
        <w:ind w:left="340" w:right="20" w:hanging="332"/>
        <w:spacing w:after="0" w:line="21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On October 1</w:t>
      </w:r>
      <w:r>
        <w:rPr>
          <w:rFonts w:ascii="Arial" w:cs="Arial" w:eastAsia="Arial" w:hAnsi="Arial"/>
          <w:sz w:val="25"/>
          <w:szCs w:val="25"/>
          <w:color w:val="auto"/>
          <w:vertAlign w:val="superscript"/>
        </w:rPr>
        <w:t>st</w:t>
      </w:r>
      <w:r>
        <w:rPr>
          <w:rFonts w:ascii="Arial" w:cs="Arial" w:eastAsia="Arial" w:hAnsi="Arial"/>
          <w:sz w:val="18"/>
          <w:szCs w:val="18"/>
          <w:color w:val="auto"/>
        </w:rPr>
        <w:t>, we acquired Screw Products, Inc., a regional MRO distributor with a presence in the Dallas, TX and Dayton, OH areas. We</w:t>
      </w:r>
      <w:r>
        <w:rPr>
          <w:rFonts w:ascii="Arial" w:cs="Arial" w:eastAsia="Arial" w:hAnsi="Arial"/>
          <w:sz w:val="18"/>
          <w:szCs w:val="18"/>
          <w:i w:val="1"/>
          <w:iCs w:val="1"/>
          <w:color w:val="auto"/>
        </w:rPr>
        <w:t xml:space="preserve"> </w:t>
      </w:r>
      <w:r>
        <w:rPr>
          <w:rFonts w:ascii="Arial" w:cs="Arial" w:eastAsia="Arial" w:hAnsi="Arial"/>
          <w:sz w:val="18"/>
          <w:szCs w:val="18"/>
          <w:color w:val="auto"/>
        </w:rPr>
        <w:t>also completed the integration of Bolt Supply House, Ltd into our operations, including the opening of a new branch.</w:t>
      </w:r>
    </w:p>
    <w:p>
      <w:pPr>
        <w:spacing w:after="0" w:line="21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Lean Six Sigma </w:t>
      </w:r>
      <w:r>
        <w:rPr>
          <w:rFonts w:ascii="Arial" w:cs="Arial" w:eastAsia="Arial" w:hAnsi="Arial"/>
          <w:sz w:val="18"/>
          <w:szCs w:val="18"/>
          <w:color w:val="auto"/>
        </w:rPr>
        <w:t>- Over the past four years we have had over 100 employees complete Lean Six Sigma training, which is a systematic data driven</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to analyzing and improving business processes.</w:t>
      </w:r>
    </w:p>
    <w:p>
      <w:pPr>
        <w:spacing w:after="0" w:line="170" w:lineRule="exact"/>
        <w:rPr>
          <w:rFonts w:ascii="Arial" w:cs="Arial" w:eastAsia="Arial" w:hAnsi="Arial"/>
          <w:sz w:val="18"/>
          <w:szCs w:val="18"/>
          <w:i w:val="1"/>
          <w:iCs w:val="1"/>
          <w:color w:val="auto"/>
        </w:rPr>
      </w:pPr>
    </w:p>
    <w:p>
      <w:pPr>
        <w:ind w:left="340" w:hanging="332"/>
        <w:spacing w:after="0" w:line="277"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Improved Operational Performance </w:t>
      </w:r>
      <w:r>
        <w:rPr>
          <w:rFonts w:ascii="Arial" w:cs="Arial" w:eastAsia="Arial" w:hAnsi="Arial"/>
          <w:sz w:val="18"/>
          <w:szCs w:val="18"/>
          <w:color w:val="auto"/>
        </w:rPr>
        <w:t>- We continued to improve the fundamentals of our business, measured as improved customer service levels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w:t>
      </w:r>
    </w:p>
    <w:p>
      <w:pPr>
        <w:spacing w:after="0" w:line="170" w:lineRule="exact"/>
        <w:rPr>
          <w:sz w:val="20"/>
          <w:szCs w:val="20"/>
          <w:color w:val="auto"/>
        </w:rPr>
      </w:pPr>
    </w:p>
    <w:p>
      <w:pPr>
        <w:ind w:left="40" w:right="20" w:firstLine="284"/>
        <w:spacing w:after="0" w:line="277" w:lineRule="auto"/>
        <w:rPr>
          <w:sz w:val="20"/>
          <w:szCs w:val="20"/>
          <w:color w:val="auto"/>
        </w:rPr>
      </w:pPr>
      <w:r>
        <w:rPr>
          <w:rFonts w:ascii="Arial" w:cs="Arial" w:eastAsia="Arial" w:hAnsi="Arial"/>
          <w:sz w:val="18"/>
          <w:szCs w:val="18"/>
          <w:color w:val="auto"/>
        </w:rPr>
        <w:t>We believe we have created a scalable infrastructure that will allow us to take advantage of future growth opportunities. We continue to strive to be our customers' first choice for maintenance, repair and operational solutions.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655"/>
        </w:trPr>
        <w:tc>
          <w:tcPr>
            <w:tcW w:w="6400" w:type="dxa"/>
            <w:vAlign w:val="bottom"/>
            <w:gridSpan w:val="8"/>
          </w:tcPr>
          <w:p>
            <w:pPr>
              <w:spacing w:after="0"/>
              <w:rPr>
                <w:sz w:val="20"/>
                <w:szCs w:val="20"/>
                <w:color w:val="auto"/>
              </w:rPr>
            </w:pPr>
            <w:r>
              <w:rPr>
                <w:rFonts w:ascii="Arial" w:cs="Arial" w:eastAsia="Arial" w:hAnsi="Arial"/>
                <w:sz w:val="18"/>
                <w:szCs w:val="18"/>
                <w:b w:val="1"/>
                <w:bCs w:val="1"/>
                <w:color w:val="auto"/>
              </w:rPr>
              <w:t>RESULTS OF OPERATIONS FOR 2018 AS COMPARED TO 2017</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615"/>
        </w:trPr>
        <w:tc>
          <w:tcPr>
            <w:tcW w:w="1280" w:type="dxa"/>
            <w:vAlign w:val="bottom"/>
            <w:tcBorders>
              <w:top w:val="single" w:sz="8" w:color="auto"/>
            </w:tcBorders>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180" w:type="dxa"/>
            <w:vAlign w:val="bottom"/>
            <w:gridSpan w:val="5"/>
          </w:tcPr>
          <w:p>
            <w:pPr>
              <w:ind w:left="180"/>
              <w:spacing w:after="0"/>
              <w:rPr>
                <w:sz w:val="20"/>
                <w:szCs w:val="20"/>
                <w:color w:val="auto"/>
              </w:rPr>
            </w:pPr>
            <w:r>
              <w:rPr>
                <w:rFonts w:ascii="Arial" w:cs="Arial" w:eastAsia="Arial" w:hAnsi="Arial"/>
                <w:sz w:val="18"/>
                <w:szCs w:val="18"/>
                <w:color w:val="auto"/>
                <w:w w:val="92"/>
              </w:rPr>
              <w:t>Year Ended December 31,</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4"/>
          </w:tcPr>
          <w:p>
            <w:pPr>
              <w:jc w:val="center"/>
              <w:ind w:right="50"/>
              <w:spacing w:after="0"/>
              <w:rPr>
                <w:sz w:val="20"/>
                <w:szCs w:val="20"/>
                <w:color w:val="auto"/>
              </w:rPr>
            </w:pPr>
            <w:r>
              <w:rPr>
                <w:rFonts w:ascii="Arial" w:cs="Arial" w:eastAsia="Arial" w:hAnsi="Arial"/>
                <w:sz w:val="18"/>
                <w:szCs w:val="18"/>
                <w:color w:val="auto"/>
                <w:w w:val="89"/>
              </w:rPr>
              <w:t>Year-to-Year</w:t>
            </w:r>
          </w:p>
        </w:tc>
      </w:tr>
      <w:tr>
        <w:trPr>
          <w:trHeight w:val="27"/>
        </w:trPr>
        <w:tc>
          <w:tcPr>
            <w:tcW w:w="12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2018</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0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center"/>
              <w:ind w:left="510"/>
              <w:spacing w:after="0"/>
              <w:rPr>
                <w:sz w:val="20"/>
                <w:szCs w:val="20"/>
                <w:color w:val="auto"/>
              </w:rPr>
            </w:pPr>
            <w:r>
              <w:rPr>
                <w:rFonts w:ascii="Arial" w:cs="Arial" w:eastAsia="Arial" w:hAnsi="Arial"/>
                <w:sz w:val="18"/>
                <w:szCs w:val="18"/>
                <w:color w:val="auto"/>
                <w:w w:val="85"/>
              </w:rPr>
              <w:t>Change</w:t>
            </w:r>
          </w:p>
        </w:tc>
        <w:tc>
          <w:tcPr>
            <w:tcW w:w="76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(Dollars in thousands)</w:t>
            </w:r>
          </w:p>
        </w:tc>
        <w:tc>
          <w:tcPr>
            <w:tcW w:w="14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Amount</w:t>
            </w:r>
          </w:p>
        </w:tc>
        <w:tc>
          <w:tcPr>
            <w:tcW w:w="1740" w:type="dxa"/>
            <w:vAlign w:val="bottom"/>
            <w:gridSpan w:val="3"/>
          </w:tcPr>
          <w:p>
            <w:pPr>
              <w:ind w:left="280"/>
              <w:spacing w:after="0"/>
              <w:rPr>
                <w:sz w:val="20"/>
                <w:szCs w:val="20"/>
                <w:color w:val="auto"/>
              </w:rPr>
            </w:pPr>
            <w:r>
              <w:rPr>
                <w:rFonts w:ascii="Arial" w:cs="Arial" w:eastAsia="Arial" w:hAnsi="Arial"/>
                <w:sz w:val="18"/>
                <w:szCs w:val="18"/>
                <w:color w:val="auto"/>
              </w:rPr>
              <w:t>% of Net Sales</w:t>
            </w:r>
          </w:p>
        </w:tc>
        <w:tc>
          <w:tcPr>
            <w:tcW w:w="14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Amount</w:t>
            </w:r>
          </w:p>
        </w:tc>
        <w:tc>
          <w:tcPr>
            <w:tcW w:w="1760" w:type="dxa"/>
            <w:vAlign w:val="bottom"/>
            <w:gridSpan w:val="2"/>
          </w:tcPr>
          <w:p>
            <w:pPr>
              <w:ind w:left="280"/>
              <w:spacing w:after="0"/>
              <w:rPr>
                <w:sz w:val="20"/>
                <w:szCs w:val="20"/>
                <w:color w:val="auto"/>
              </w:rPr>
            </w:pPr>
            <w:r>
              <w:rPr>
                <w:rFonts w:ascii="Arial" w:cs="Arial" w:eastAsia="Arial" w:hAnsi="Arial"/>
                <w:sz w:val="18"/>
                <w:szCs w:val="18"/>
                <w:color w:val="auto"/>
              </w:rPr>
              <w:t>% of Net Sales</w:t>
            </w:r>
          </w:p>
        </w:tc>
        <w:tc>
          <w:tcPr>
            <w:tcW w:w="18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Arial" w:cs="Arial" w:eastAsia="Arial" w:hAnsi="Arial"/>
                <w:sz w:val="18"/>
                <w:szCs w:val="18"/>
                <w:color w:val="auto"/>
              </w:rPr>
              <w:t>Amount</w:t>
            </w:r>
          </w:p>
        </w:tc>
        <w:tc>
          <w:tcPr>
            <w:tcW w:w="76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318"/>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349,637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305,907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14.3 %</w:t>
            </w: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160,097</w:t>
            </w:r>
          </w:p>
        </w:tc>
        <w:tc>
          <w:tcPr>
            <w:tcW w:w="120" w:type="dxa"/>
            <w:vAlign w:val="bottom"/>
          </w:tcPr>
          <w:p>
            <w:pPr>
              <w:spacing w:after="0"/>
              <w:rPr>
                <w:sz w:val="21"/>
                <w:szCs w:val="21"/>
                <w:color w:val="auto"/>
              </w:rPr>
            </w:pP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122,889</w:t>
            </w:r>
          </w:p>
        </w:tc>
        <w:tc>
          <w:tcPr>
            <w:tcW w:w="100" w:type="dxa"/>
            <w:vAlign w:val="bottom"/>
          </w:tcPr>
          <w:p>
            <w:pPr>
              <w:spacing w:after="0"/>
              <w:rPr>
                <w:sz w:val="21"/>
                <w:szCs w:val="21"/>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37,208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30.3</w:t>
            </w:r>
          </w:p>
        </w:tc>
      </w:tr>
      <w:tr>
        <w:trPr>
          <w:trHeight w:val="27"/>
        </w:trPr>
        <w:tc>
          <w:tcPr>
            <w:tcW w:w="12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64"/>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189,540</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183,018</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r>
      <w:tr>
        <w:trPr>
          <w:trHeight w:val="318"/>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gridSpan w:val="2"/>
          </w:tcPr>
          <w:p>
            <w:pPr>
              <w:ind w:left="520"/>
              <w:spacing w:after="0"/>
              <w:rPr>
                <w:sz w:val="20"/>
                <w:szCs w:val="20"/>
                <w:color w:val="auto"/>
              </w:rPr>
            </w:pPr>
            <w:r>
              <w:rPr>
                <w:rFonts w:ascii="Arial" w:cs="Arial" w:eastAsia="Arial" w:hAnsi="Arial"/>
                <w:sz w:val="18"/>
                <w:szCs w:val="18"/>
                <w:color w:val="auto"/>
              </w:rPr>
              <w:t>Selling expenses</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87,642</w:t>
            </w:r>
          </w:p>
        </w:tc>
        <w:tc>
          <w:tcPr>
            <w:tcW w:w="120" w:type="dxa"/>
            <w:vAlign w:val="bottom"/>
          </w:tcPr>
          <w:p>
            <w:pPr>
              <w:spacing w:after="0"/>
              <w:rPr>
                <w:sz w:val="21"/>
                <w:szCs w:val="21"/>
                <w:color w:val="auto"/>
              </w:rPr>
            </w:pP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98,025</w:t>
            </w:r>
          </w:p>
        </w:tc>
        <w:tc>
          <w:tcPr>
            <w:tcW w:w="100" w:type="dxa"/>
            <w:vAlign w:val="bottom"/>
          </w:tcPr>
          <w:p>
            <w:pPr>
              <w:spacing w:after="0"/>
              <w:rPr>
                <w:sz w:val="21"/>
                <w:szCs w:val="21"/>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(10.6)</w:t>
            </w:r>
          </w:p>
        </w:tc>
      </w:tr>
      <w:tr>
        <w:trPr>
          <w:trHeight w:val="27"/>
        </w:trPr>
        <w:tc>
          <w:tcPr>
            <w:tcW w:w="12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6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92,688</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80,479</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15.2</w:t>
            </w:r>
          </w:p>
        </w:tc>
      </w:tr>
      <w:tr>
        <w:trPr>
          <w:trHeight w:val="237"/>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Total SG&amp;A</w:t>
            </w: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180,330</w:t>
            </w:r>
          </w:p>
        </w:tc>
        <w:tc>
          <w:tcPr>
            <w:tcW w:w="120" w:type="dxa"/>
            <w:vAlign w:val="bottom"/>
          </w:tcPr>
          <w:p>
            <w:pPr>
              <w:spacing w:after="0"/>
              <w:rPr>
                <w:sz w:val="20"/>
                <w:szCs w:val="20"/>
                <w:color w:val="auto"/>
              </w:rPr>
            </w:pPr>
          </w:p>
        </w:tc>
        <w:tc>
          <w:tcPr>
            <w:tcW w:w="16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8"/>
              </w:rPr>
              <w:t>178,504</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1.0</w:t>
            </w:r>
          </w:p>
        </w:tc>
      </w:tr>
      <w:tr>
        <w:trPr>
          <w:trHeight w:val="27"/>
        </w:trPr>
        <w:tc>
          <w:tcPr>
            <w:tcW w:w="12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on sale of property</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r>
      <w:tr>
        <w:trPr>
          <w:trHeight w:val="237"/>
        </w:trPr>
        <w:tc>
          <w:tcPr>
            <w:tcW w:w="3640" w:type="dxa"/>
            <w:vAlign w:val="bottom"/>
            <w:gridSpan w:val="2"/>
          </w:tcPr>
          <w:p>
            <w:pPr>
              <w:ind w:left="5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180,330</w:t>
            </w:r>
          </w:p>
        </w:tc>
        <w:tc>
          <w:tcPr>
            <w:tcW w:w="120" w:type="dxa"/>
            <w:vAlign w:val="bottom"/>
          </w:tcPr>
          <w:p>
            <w:pPr>
              <w:spacing w:after="0"/>
              <w:rPr>
                <w:sz w:val="20"/>
                <w:szCs w:val="20"/>
                <w:color w:val="auto"/>
              </w:rPr>
            </w:pPr>
          </w:p>
        </w:tc>
        <w:tc>
          <w:tcPr>
            <w:tcW w:w="16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8"/>
              </w:rPr>
              <w:t>173,082</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4.2</w:t>
            </w:r>
          </w:p>
        </w:tc>
      </w:tr>
      <w:tr>
        <w:trPr>
          <w:trHeight w:val="27"/>
        </w:trPr>
        <w:tc>
          <w:tcPr>
            <w:tcW w:w="12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9,210</w:t>
            </w:r>
          </w:p>
        </w:tc>
        <w:tc>
          <w:tcPr>
            <w:tcW w:w="120" w:type="dxa"/>
            <w:vAlign w:val="bottom"/>
          </w:tcPr>
          <w:p>
            <w:pPr>
              <w:spacing w:after="0"/>
              <w:rPr>
                <w:sz w:val="21"/>
                <w:szCs w:val="21"/>
                <w:color w:val="auto"/>
              </w:rPr>
            </w:pP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9,936</w:t>
            </w:r>
          </w:p>
        </w:tc>
        <w:tc>
          <w:tcPr>
            <w:tcW w:w="100" w:type="dxa"/>
            <w:vAlign w:val="bottom"/>
          </w:tcPr>
          <w:p>
            <w:pPr>
              <w:spacing w:after="0"/>
              <w:rPr>
                <w:sz w:val="21"/>
                <w:szCs w:val="21"/>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21"/>
                <w:szCs w:val="21"/>
                <w:color w:val="auto"/>
              </w:rPr>
            </w:pP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r>
      <w:tr>
        <w:trPr>
          <w:trHeight w:val="318"/>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10,094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Income tax (benefit) expense</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(19,594)</w:t>
            </w:r>
          </w:p>
        </w:tc>
        <w:tc>
          <w:tcPr>
            <w:tcW w:w="10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20,243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4"/>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6,214</w:t>
            </w:r>
          </w:p>
        </w:tc>
        <w:tc>
          <w:tcPr>
            <w:tcW w:w="120" w:type="dxa"/>
            <w:vAlign w:val="bottom"/>
          </w:tcPr>
          <w:p>
            <w:pPr>
              <w:spacing w:after="0"/>
              <w:rPr>
                <w:sz w:val="22"/>
                <w:szCs w:val="22"/>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29,688</w:t>
            </w:r>
          </w:p>
        </w:tc>
        <w:tc>
          <w:tcPr>
            <w:tcW w:w="100" w:type="dxa"/>
            <w:vAlign w:val="bottom"/>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662"/>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right"/>
              <w:ind w:right="4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696"/>
        </w:trPr>
        <w:tc>
          <w:tcPr>
            <w:tcW w:w="5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Sales and Gross Profits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8940" w:type="dxa"/>
            <w:vAlign w:val="bottom"/>
            <w:gridSpan w:val="8"/>
          </w:tcPr>
          <w:p>
            <w:pPr>
              <w:ind w:left="340"/>
              <w:spacing w:after="0"/>
              <w:rPr>
                <w:sz w:val="20"/>
                <w:szCs w:val="20"/>
                <w:color w:val="auto"/>
              </w:rPr>
            </w:pPr>
            <w:r>
              <w:rPr>
                <w:rFonts w:ascii="Arial" w:cs="Arial" w:eastAsia="Arial" w:hAnsi="Arial"/>
                <w:sz w:val="18"/>
                <w:szCs w:val="18"/>
                <w:color w:val="auto"/>
                <w:w w:val="90"/>
              </w:rPr>
              <w:t>Sales and gross profit results by operating segment for the years ended December 31, 2018 and 2017 were as follows: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220"/>
              <w:spacing w:after="0"/>
              <w:rPr>
                <w:sz w:val="20"/>
                <w:szCs w:val="20"/>
                <w:color w:val="auto"/>
              </w:rPr>
            </w:pPr>
            <w:r>
              <w:rPr>
                <w:rFonts w:ascii="Arial" w:cs="Arial" w:eastAsia="Arial" w:hAnsi="Arial"/>
                <w:sz w:val="18"/>
                <w:szCs w:val="18"/>
                <w:color w:val="auto"/>
              </w:rPr>
              <w:t>Year Ended December 31,</w:t>
            </w:r>
          </w:p>
        </w:tc>
        <w:tc>
          <w:tcPr>
            <w:tcW w:w="180" w:type="dxa"/>
            <w:vAlign w:val="bottom"/>
          </w:tcPr>
          <w:p>
            <w:pPr>
              <w:spacing w:after="0"/>
              <w:rPr>
                <w:sz w:val="24"/>
                <w:szCs w:val="24"/>
                <w:color w:val="auto"/>
              </w:rPr>
            </w:pPr>
          </w:p>
        </w:tc>
        <w:tc>
          <w:tcPr>
            <w:tcW w:w="2300" w:type="dxa"/>
            <w:vAlign w:val="bottom"/>
            <w:gridSpan w:val="3"/>
          </w:tcPr>
          <w:p>
            <w:pPr>
              <w:jc w:val="right"/>
              <w:ind w:right="520"/>
              <w:spacing w:after="0"/>
              <w:rPr>
                <w:sz w:val="20"/>
                <w:szCs w:val="20"/>
                <w:color w:val="auto"/>
              </w:rPr>
            </w:pPr>
            <w:r>
              <w:rPr>
                <w:rFonts w:ascii="Arial" w:cs="Arial" w:eastAsia="Arial" w:hAnsi="Arial"/>
                <w:sz w:val="18"/>
                <w:szCs w:val="18"/>
                <w:color w:val="auto"/>
              </w:rPr>
              <w:t>Increase (Decrease)</w:t>
            </w:r>
          </w:p>
        </w:tc>
      </w:tr>
      <w:tr>
        <w:trPr>
          <w:trHeight w:val="27"/>
        </w:trPr>
        <w:tc>
          <w:tcPr>
            <w:tcW w:w="12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37"/>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(Dollars in thousands)</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Amount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18"/>
        </w:trPr>
        <w:tc>
          <w:tcPr>
            <w:tcW w:w="1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gridSpan w:val="2"/>
          </w:tcPr>
          <w:p>
            <w:pPr>
              <w:ind w:left="200"/>
              <w:spacing w:after="0"/>
              <w:rPr>
                <w:sz w:val="20"/>
                <w:szCs w:val="20"/>
                <w:color w:val="auto"/>
              </w:rPr>
            </w:pPr>
            <w:r>
              <w:rPr>
                <w:rFonts w:ascii="Arial" w:cs="Arial" w:eastAsia="Arial" w:hAnsi="Arial"/>
                <w:sz w:val="18"/>
                <w:szCs w:val="18"/>
                <w:color w:val="auto"/>
              </w:rPr>
              <w:t>Lawson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313,095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297,953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15,142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5.1 %</w:t>
            </w:r>
          </w:p>
        </w:tc>
      </w:tr>
      <w:tr>
        <w:trPr>
          <w:trHeight w:val="27"/>
        </w:trPr>
        <w:tc>
          <w:tcPr>
            <w:tcW w:w="12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86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Bolt </w:t>
            </w:r>
            <w:r>
              <w:rPr>
                <w:rFonts w:ascii="Arial" w:cs="Arial" w:eastAsia="Arial" w:hAnsi="Arial"/>
                <w:sz w:val="25"/>
                <w:szCs w:val="25"/>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36,542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7,954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28,588</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359.4 %</w:t>
            </w:r>
          </w:p>
        </w:tc>
      </w:tr>
      <w:tr>
        <w:trPr>
          <w:trHeight w:val="297"/>
        </w:trPr>
        <w:tc>
          <w:tcPr>
            <w:tcW w:w="58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Consolidated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349,637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305,907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43,730</w:t>
            </w:r>
          </w:p>
        </w:tc>
        <w:tc>
          <w:tcPr>
            <w:tcW w:w="13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14.3 %</w:t>
            </w:r>
          </w:p>
        </w:tc>
      </w:tr>
      <w:tr>
        <w:trPr>
          <w:trHeight w:val="311"/>
        </w:trPr>
        <w:tc>
          <w:tcPr>
            <w:tcW w:w="1280" w:type="dxa"/>
            <w:vAlign w:val="bottom"/>
            <w:shd w:val="clear" w:color="auto" w:fill="CCEEFF"/>
          </w:tcPr>
          <w:p>
            <w:pPr>
              <w:spacing w:after="0"/>
              <w:rPr>
                <w:sz w:val="24"/>
                <w:szCs w:val="24"/>
                <w:color w:val="auto"/>
              </w:rPr>
            </w:pPr>
          </w:p>
        </w:tc>
        <w:tc>
          <w:tcPr>
            <w:tcW w:w="4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Lawson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175,517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179,578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70"/>
        </w:trPr>
        <w:tc>
          <w:tcPr>
            <w:tcW w:w="5860" w:type="dxa"/>
            <w:vAlign w:val="bottom"/>
            <w:tcBorders>
              <w:bottom w:val="single" w:sz="8" w:color="CCEEFF"/>
            </w:tcBorders>
            <w:gridSpan w:val="2"/>
          </w:tcPr>
          <w:p>
            <w:pPr>
              <w:ind w:left="200"/>
              <w:spacing w:after="0" w:line="270" w:lineRule="exact"/>
              <w:rPr>
                <w:sz w:val="20"/>
                <w:szCs w:val="20"/>
                <w:color w:val="auto"/>
              </w:rPr>
            </w:pPr>
            <w:r>
              <w:rPr>
                <w:rFonts w:ascii="Arial" w:cs="Arial" w:eastAsia="Arial" w:hAnsi="Arial"/>
                <w:sz w:val="18"/>
                <w:szCs w:val="18"/>
                <w:color w:val="auto"/>
              </w:rPr>
              <w:t xml:space="preserve">Bolt </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14,023</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3,440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10,583</w:t>
            </w:r>
          </w:p>
        </w:tc>
        <w:tc>
          <w:tcPr>
            <w:tcW w:w="13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307.6 %</w:t>
            </w:r>
          </w:p>
        </w:tc>
      </w:tr>
      <w:tr>
        <w:trPr>
          <w:trHeight w:val="257"/>
        </w:trPr>
        <w:tc>
          <w:tcPr>
            <w:tcW w:w="58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Consolidated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189,540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183,018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6,522</w:t>
            </w: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3.6 %</w:t>
            </w:r>
          </w:p>
        </w:tc>
      </w:tr>
      <w:tr>
        <w:trPr>
          <w:trHeight w:val="20"/>
        </w:trPr>
        <w:tc>
          <w:tcPr>
            <w:tcW w:w="1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Gross profit margin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ind w:left="200"/>
              <w:spacing w:after="0"/>
              <w:rPr>
                <w:sz w:val="20"/>
                <w:szCs w:val="20"/>
                <w:color w:val="auto"/>
              </w:rPr>
            </w:pPr>
            <w:r>
              <w:rPr>
                <w:rFonts w:ascii="Arial" w:cs="Arial" w:eastAsia="Arial" w:hAnsi="Arial"/>
                <w:sz w:val="18"/>
                <w:szCs w:val="18"/>
                <w:color w:val="auto"/>
              </w:rPr>
              <w:t>Lawson</w:t>
            </w:r>
          </w:p>
        </w:tc>
        <w:tc>
          <w:tcPr>
            <w:tcW w:w="3740" w:type="dxa"/>
            <w:vAlign w:val="bottom"/>
          </w:tcPr>
          <w:p>
            <w:pPr>
              <w:jc w:val="right"/>
              <w:ind w:right="450"/>
              <w:spacing w:after="0"/>
              <w:rPr>
                <w:sz w:val="20"/>
                <w:szCs w:val="20"/>
                <w:color w:val="auto"/>
              </w:rPr>
            </w:pPr>
            <w:r>
              <w:rPr>
                <w:rFonts w:ascii="Arial" w:cs="Arial" w:eastAsia="Arial" w:hAnsi="Arial"/>
                <w:sz w:val="18"/>
                <w:szCs w:val="18"/>
                <w:color w:val="auto"/>
              </w:rPr>
              <w:t>56.1%</w:t>
            </w:r>
          </w:p>
        </w:tc>
        <w:tc>
          <w:tcPr>
            <w:tcW w:w="3640" w:type="dxa"/>
            <w:vAlign w:val="bottom"/>
          </w:tcPr>
          <w:p>
            <w:pPr>
              <w:jc w:val="right"/>
              <w:ind w:right="2550"/>
              <w:spacing w:after="0"/>
              <w:rPr>
                <w:sz w:val="20"/>
                <w:szCs w:val="20"/>
                <w:color w:val="auto"/>
              </w:rPr>
            </w:pPr>
            <w:r>
              <w:rPr>
                <w:rFonts w:ascii="Arial" w:cs="Arial" w:eastAsia="Arial" w:hAnsi="Arial"/>
                <w:sz w:val="18"/>
                <w:szCs w:val="18"/>
                <w:color w:val="auto"/>
              </w:rPr>
              <w:t>60.3%</w:t>
            </w:r>
          </w:p>
        </w:tc>
      </w:tr>
      <w:tr>
        <w:trPr>
          <w:trHeight w:val="27"/>
        </w:trPr>
        <w:tc>
          <w:tcPr>
            <w:tcW w:w="40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70"/>
        </w:trPr>
        <w:tc>
          <w:tcPr>
            <w:tcW w:w="40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Bolt </w:t>
            </w:r>
            <w:r>
              <w:rPr>
                <w:rFonts w:ascii="Arial" w:cs="Arial" w:eastAsia="Arial" w:hAnsi="Arial"/>
                <w:sz w:val="25"/>
                <w:szCs w:val="25"/>
                <w:color w:val="auto"/>
                <w:vertAlign w:val="superscript"/>
              </w:rPr>
              <w:t>(1)</w:t>
            </w:r>
          </w:p>
        </w:tc>
        <w:tc>
          <w:tcPr>
            <w:tcW w:w="3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38.4%</w:t>
            </w:r>
          </w:p>
        </w:tc>
        <w:tc>
          <w:tcPr>
            <w:tcW w:w="3640" w:type="dxa"/>
            <w:vAlign w:val="bottom"/>
            <w:shd w:val="clear" w:color="auto" w:fill="CCEEFF"/>
          </w:tcPr>
          <w:p>
            <w:pPr>
              <w:jc w:val="right"/>
              <w:ind w:right="2550"/>
              <w:spacing w:after="0"/>
              <w:rPr>
                <w:sz w:val="20"/>
                <w:szCs w:val="20"/>
                <w:color w:val="auto"/>
              </w:rPr>
            </w:pPr>
            <w:r>
              <w:rPr>
                <w:rFonts w:ascii="Arial" w:cs="Arial" w:eastAsia="Arial" w:hAnsi="Arial"/>
                <w:sz w:val="18"/>
                <w:szCs w:val="18"/>
                <w:color w:val="auto"/>
              </w:rPr>
              <w:t>43.2%</w:t>
            </w:r>
          </w:p>
        </w:tc>
      </w:tr>
      <w:tr>
        <w:trPr>
          <w:trHeight w:val="243"/>
        </w:trPr>
        <w:tc>
          <w:tcPr>
            <w:tcW w:w="4040" w:type="dxa"/>
            <w:vAlign w:val="bottom"/>
          </w:tcPr>
          <w:p>
            <w:pPr>
              <w:ind w:left="360"/>
              <w:spacing w:after="0"/>
              <w:rPr>
                <w:sz w:val="20"/>
                <w:szCs w:val="20"/>
                <w:color w:val="auto"/>
              </w:rPr>
            </w:pPr>
            <w:r>
              <w:rPr>
                <w:rFonts w:ascii="Arial" w:cs="Arial" w:eastAsia="Arial" w:hAnsi="Arial"/>
                <w:sz w:val="18"/>
                <w:szCs w:val="18"/>
                <w:color w:val="auto"/>
              </w:rPr>
              <w:t>Consolidated</w:t>
            </w:r>
          </w:p>
        </w:tc>
        <w:tc>
          <w:tcPr>
            <w:tcW w:w="3740" w:type="dxa"/>
            <w:vAlign w:val="bottom"/>
          </w:tcPr>
          <w:p>
            <w:pPr>
              <w:jc w:val="right"/>
              <w:ind w:right="450"/>
              <w:spacing w:after="0"/>
              <w:rPr>
                <w:sz w:val="20"/>
                <w:szCs w:val="20"/>
                <w:color w:val="auto"/>
              </w:rPr>
            </w:pPr>
            <w:r>
              <w:rPr>
                <w:rFonts w:ascii="Arial" w:cs="Arial" w:eastAsia="Arial" w:hAnsi="Arial"/>
                <w:sz w:val="18"/>
                <w:szCs w:val="18"/>
                <w:color w:val="auto"/>
              </w:rPr>
              <w:t>54.2%</w:t>
            </w:r>
          </w:p>
        </w:tc>
        <w:tc>
          <w:tcPr>
            <w:tcW w:w="3640" w:type="dxa"/>
            <w:vAlign w:val="bottom"/>
          </w:tcPr>
          <w:p>
            <w:pPr>
              <w:jc w:val="right"/>
              <w:ind w:right="2550"/>
              <w:spacing w:after="0"/>
              <w:rPr>
                <w:sz w:val="20"/>
                <w:szCs w:val="20"/>
                <w:color w:val="auto"/>
              </w:rPr>
            </w:pPr>
            <w:r>
              <w:rPr>
                <w:rFonts w:ascii="Arial" w:cs="Arial" w:eastAsia="Arial" w:hAnsi="Arial"/>
                <w:sz w:val="18"/>
                <w:szCs w:val="18"/>
                <w:color w:val="auto"/>
              </w:rPr>
              <w:t>59.8%</w:t>
            </w:r>
          </w:p>
        </w:tc>
      </w:tr>
    </w:tbl>
    <w:p>
      <w:pPr>
        <w:spacing w:after="0" w:line="229"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Results for Bolt only reflect the period subsequent to the acquisition date of October 3, 2017.</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Net sales increased 14.3% in 2018 to $349.6 million from $305.9 million in 2017. Lawson segment sales increased 5.1% over the prior year primarily due to increased productivity of sales representatives and the strength of the MRO marketplace, as well as the acquisition of Screw Products on October 1, 2018. The Company experienced growth in all major categories including regional, large strategic national, Kent Automotive and governmental accounts. There was one less selling day in 2018 compared to 2017. Average daily sales grew to $1.393 million in 2018 compared to $1.214 million in 2017 driven by a full year of Bolt Supply, improved sales rep productivity and the acquisition of Screw Products in 2018 which generated $0.6 million of sales for the year.</w:t>
      </w:r>
    </w:p>
    <w:p>
      <w:pPr>
        <w:spacing w:after="0" w:line="1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Gross profit increased to $189.5 million in 2018 from $183.0 million in 2017 and decreased to 54.2% of net sales from 59.8% of net sales a year ago. The decrease in the gross margin percentage was primarily a result of the effect of the adoption of ASC 606 and the inclusion of Bolt for the entire year and Screw Products for three months. Bolt and SPI historically have had lower gross margins than Lawson MRO. The Lawson gross margin decreased as a percentage of sales primarily due to the adoption of ASC 606 which reclassified $14.6 million of service related costs from selling expenses to service cost included in gross profit and higher sales to larger national customers, who typically generate lower product margin.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08"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4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912"/>
        </w:trPr>
        <w:tc>
          <w:tcPr>
            <w:tcW w:w="642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Selling, General and Administrative Expenses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ind w:left="100"/>
              <w:spacing w:after="0"/>
              <w:rPr>
                <w:sz w:val="20"/>
                <w:szCs w:val="20"/>
                <w:color w:val="auto"/>
              </w:rPr>
            </w:pPr>
            <w:r>
              <w:rPr>
                <w:rFonts w:ascii="Arial" w:cs="Arial" w:eastAsia="Arial" w:hAnsi="Arial"/>
                <w:sz w:val="18"/>
                <w:szCs w:val="18"/>
                <w:color w:val="auto"/>
              </w:rPr>
              <w:t>Year Ended December 31,</w:t>
            </w:r>
          </w:p>
        </w:tc>
        <w:tc>
          <w:tcPr>
            <w:tcW w:w="200" w:type="dxa"/>
            <w:vAlign w:val="bottom"/>
          </w:tcPr>
          <w:p>
            <w:pPr>
              <w:spacing w:after="0"/>
              <w:rPr>
                <w:sz w:val="24"/>
                <w:szCs w:val="24"/>
                <w:color w:val="auto"/>
              </w:rPr>
            </w:pPr>
          </w:p>
        </w:tc>
        <w:tc>
          <w:tcPr>
            <w:tcW w:w="2320" w:type="dxa"/>
            <w:vAlign w:val="bottom"/>
            <w:gridSpan w:val="3"/>
          </w:tcPr>
          <w:p>
            <w:pPr>
              <w:jc w:val="right"/>
              <w:ind w:right="540"/>
              <w:spacing w:after="0"/>
              <w:rPr>
                <w:sz w:val="20"/>
                <w:szCs w:val="20"/>
                <w:color w:val="auto"/>
              </w:rPr>
            </w:pPr>
            <w:r>
              <w:rPr>
                <w:rFonts w:ascii="Arial" w:cs="Arial" w:eastAsia="Arial" w:hAnsi="Arial"/>
                <w:sz w:val="18"/>
                <w:szCs w:val="18"/>
                <w:color w:val="auto"/>
              </w:rPr>
              <w:t>Increase (Decrease)</w:t>
            </w:r>
          </w:p>
        </w:tc>
      </w:tr>
      <w:tr>
        <w:trPr>
          <w:trHeight w:val="27"/>
        </w:trPr>
        <w:tc>
          <w:tcPr>
            <w:tcW w:w="12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Amount</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18"/>
        </w:trPr>
        <w:tc>
          <w:tcPr>
            <w:tcW w:w="12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gridSpan w:val="2"/>
          </w:tcPr>
          <w:p>
            <w:pPr>
              <w:ind w:left="200"/>
              <w:spacing w:after="0"/>
              <w:rPr>
                <w:sz w:val="20"/>
                <w:szCs w:val="20"/>
                <w:color w:val="auto"/>
              </w:rPr>
            </w:pPr>
            <w:r>
              <w:rPr>
                <w:rFonts w:ascii="Arial" w:cs="Arial" w:eastAsia="Arial" w:hAnsi="Arial"/>
                <w:sz w:val="18"/>
                <w:szCs w:val="18"/>
                <w:color w:val="auto"/>
              </w:rPr>
              <w:t>Lawson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84,536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97,376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(12,840)</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r>
      <w:tr>
        <w:trPr>
          <w:trHeight w:val="27"/>
        </w:trPr>
        <w:tc>
          <w:tcPr>
            <w:tcW w:w="12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Bolt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2,457</w:t>
            </w: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378.6 %</w:t>
            </w:r>
          </w:p>
        </w:tc>
      </w:tr>
      <w:tr>
        <w:trPr>
          <w:trHeight w:val="297"/>
        </w:trPr>
        <w:tc>
          <w:tcPr>
            <w:tcW w:w="64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Consolidated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87,642</w:t>
            </w:r>
          </w:p>
        </w:tc>
        <w:tc>
          <w:tcPr>
            <w:tcW w:w="100" w:type="dxa"/>
            <w:vAlign w:val="bottom"/>
            <w:tcBorders>
              <w:top w:val="single" w:sz="8" w:color="auto"/>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98,025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(10,383)</w:t>
            </w:r>
          </w:p>
        </w:tc>
        <w:tc>
          <w:tcPr>
            <w:tcW w:w="13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311"/>
        </w:trPr>
        <w:tc>
          <w:tcPr>
            <w:tcW w:w="1280" w:type="dxa"/>
            <w:vAlign w:val="bottom"/>
            <w:shd w:val="clear" w:color="auto" w:fill="CCEEFF"/>
          </w:tcPr>
          <w:p>
            <w:pPr>
              <w:spacing w:after="0"/>
              <w:rPr>
                <w:sz w:val="24"/>
                <w:szCs w:val="24"/>
                <w:color w:val="auto"/>
              </w:rPr>
            </w:pPr>
          </w:p>
        </w:tc>
        <w:tc>
          <w:tcPr>
            <w:tcW w:w="5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Lawson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5,643</w:t>
            </w: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7.2 %</w:t>
            </w:r>
          </w:p>
        </w:tc>
      </w:tr>
      <w:tr>
        <w:trPr>
          <w:trHeight w:val="243"/>
        </w:trPr>
        <w:tc>
          <w:tcPr>
            <w:tcW w:w="6420" w:type="dxa"/>
            <w:vAlign w:val="bottom"/>
            <w:gridSpan w:val="2"/>
          </w:tcPr>
          <w:p>
            <w:pPr>
              <w:ind w:left="200"/>
              <w:spacing w:after="0"/>
              <w:rPr>
                <w:sz w:val="20"/>
                <w:szCs w:val="20"/>
                <w:color w:val="auto"/>
              </w:rPr>
            </w:pPr>
            <w:r>
              <w:rPr>
                <w:rFonts w:ascii="Arial" w:cs="Arial" w:eastAsia="Arial" w:hAnsi="Arial"/>
                <w:sz w:val="18"/>
                <w:szCs w:val="18"/>
                <w:color w:val="auto"/>
              </w:rPr>
              <w:t>Bolt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8,585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6,566</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325.2 %</w:t>
            </w:r>
          </w:p>
        </w:tc>
      </w:tr>
      <w:tr>
        <w:trPr>
          <w:trHeight w:val="27"/>
        </w:trPr>
        <w:tc>
          <w:tcPr>
            <w:tcW w:w="128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6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92,688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80,479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12,209</w:t>
            </w: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15.2 %</w:t>
            </w:r>
          </w:p>
        </w:tc>
      </w:tr>
      <w:tr>
        <w:trPr>
          <w:trHeight w:val="20"/>
        </w:trPr>
        <w:tc>
          <w:tcPr>
            <w:tcW w:w="12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Selling expenses consist of compensation paid to our sales representatives and related expenses to support our sales efforts. Selling expenses decreased $10.4 million to $87.6 million in 2018 from $98.0 million in 2017 primarily as a result of the adoption of ASC 606, offset by the inclusion of Bolt for the entire year and increased compensation costs on higher sales. As a percent of sales, selling expenses decreased to 25.1% from 32.0% due to the reclassification of certain selling related expenses to gross margin due to the adoption of ASC 606 and the selling expenses being leveraged over a higher sales base.</w:t>
      </w:r>
    </w:p>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expenses consist of expenses to operate our distribution network and overhead expenses to manage the business, including the 14 branch locations of Bolt. General and administrative expenses increased $12.2 million to $92.7 million in 2018 compared to $80.5 million in 2017, due primarily to increased stock based compensation of $7.5 million, a portion of which is dependent on our stock price, and the inclusion of Bolt for the entire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properties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2017, we received net cash proceeds of $6.2 million and recognized a gain of $5.4 million from the sale of our Fairfield, New Jersey distribution center.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expenses increased $0.4 million in 2018, over the prior year, due primarily to higher average borrowings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income, net decreased $2.1 million in 2018 compared to the prior year, due primarily to the effect of unfavorable changes in the exchange rate on the translation of U.S. dollar denominated receivables from Canada.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2012, due to historical cumulative losses, we had determined it was more likely than not that we would not be able to utilize our deferred tax assets to offset future taxable income. Therefore, substantially all of our deferred tax assets were subject to a tax valuation allowance.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2017 we had continued to generate pre-tax profits and utilized some of our net operating loss carryforwards over the previous two years and were in a three year cumulative income position in the U.S. Based on available evidence including the utilization of $13.0 million of net operating loss carryforwards in 2017, we reached a point of increased confidence in our ability to sustain profit levels and we believed it was more likely than not that we would be able to utilize a substantial amount of our deferred tax assets to offset future taxable income. Therefore, $21.2 million of our U.S. valuation allowances were released at December 31, 2017.</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benefit generated by the reversal of valuation reserves at December 31, 2017 mainly resulted in the net tax benefit of $19.6 million for 2017 (See Note 11 - Income Taxes in Item 8 for further details).</w:t>
      </w:r>
    </w:p>
    <w:p>
      <w:pPr>
        <w:sectPr>
          <w:pgSz w:w="11900" w:h="16838" w:orient="portrait"/>
          <w:cols w:equalWidth="0" w:num="1">
            <w:col w:w="11420"/>
          </w:cols>
          <w:pgMar w:left="240" w:top="10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08"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provided by operating activities was $20.3 million and $7.2 million in 2018 and 2017, respectively, primarily reflecting operating results, net of depreciation and amortization.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2017, we completed the acquisition of The Bolt Supply House Ltd. for approximately $32.3 million which was paid for by using a combination of cash on hand and borrowings of $16.3 million from our existing revolving credit facility. In 2018, we acquired Screw Products, Inc. for $5.2 million which was funded from our existing line of credit.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2017, we completed the sale of our distribution center located in Fairfield, New Jersey, receiving net cash proceeds of $6.2 million. Capital expenditures of $2.5 million and $1.3 million in 2018 and 2017 respectively, were primarily for improvements to our distribution centers and information technology. We invested $5.3 million and $32.3 million in 2018 and 2017 respectively, in business acquisitions.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Lawson Loan Agreement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the ability to borrow funds through the Loan Agreement which consists of a $40.0 million revolving credit facility which includes a $10.0 million sub-facility for letters of credit. The terms of the Loan Agreement as amended are more fully detailed in Note 13 - Loan Agreements of the Consolidated Financial Statements included in Item 8 of this Form 10-K.</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2018, we had $9.0 million of borrowings on our revolving line of credit under the Loan Agreement and had borrowing availability of $27.7 million. Additionally, we had $1.8 million outstanding under a Commitment Letter ("Bolt Agreement") for aggregate borrowings outstanding of $10.8 million.</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other customary representations, warranties and covenants, and if the excess capacity is below $10.0 million, we are required to meet a minimum trailing twelve month EBITDA to fixed charges ratio, as defined in the amended Loan Agreement. On December 31, 2018, our borrowing capacity exceeded $10.0 million, therefore, we were not subject to these financial covenants, however, we have provided the results of the financial covenants below for informational purposes: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Quarterly Financial Covenants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Requirement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Actual</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EBITDA to fixed charges ratio</w:t>
            </w:r>
          </w:p>
        </w:tc>
        <w:tc>
          <w:tcPr>
            <w:tcW w:w="1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1.10 : 1.00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3.46 : 1.00</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Although we have met the minimum financial covenant levels for all quarters since the Loan Agreement was put in place including the quarter ended December 31, 2018, failure to meet these covenant requirements in future quarters could lead to higher financing costs, increased restrictions, or reduce or eliminate our ability to borrow funds.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cash dividends were paid in the three years ended December, 31 2018 and dividends are currently restricted under our Loan Agreement to amounts not to exceed $7.0 million annually.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Letter</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Bolt has a Commitment letter which allows Bolt to access up to $5.5 million Canadian dollars. The Commitment Letter carries an interest rate of the prime rate plus 0.25%, is subject to certain covenants and is secured by substantially all of Bolt’s assets. The Commitment Letter is subject to a working capital ratio, a maximum ratio of debt to tangible net worth of the Bolt assets and a debt service coverage ratio as defined in the Commitment Letter. At December 31, 2018, Bolt was in compliance with the financial covenants which are subject to periodic review, at least annually, with the next review due by August 31, 2019.</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cash expected to be provided by operations and the funds available under our Loan Agreements are sufficient to fund our operating requirements, strategic initiatives and capital improvements throughout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Of the $10.8 million operating lease obligation, $4.0 million relates to a lease agreement for our headquarters which expires in March 2023, and $2.7 million relates to a lease agreement for our Reno, Nevada, distribution center which expires in June 2024. The remainder of the operating leases relate to the leases of Bolt locations and the land associated with the McCook distribution facility. A portion of the leased headquarters that has been sub-leased through June of 2019.</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majority of our operating leases will be recognized as right of use assets and lease liabilities on the balance sheet upon the adoption of ASU 2016-02, Leases ("ASU 2016-02") in the first quarter of 2019. See Note 4 - Leases for the transition to ASU 2016-02.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Also, as of December 31, 2018, we had contractual commitments to purchase approximately $11.5 million of product from our suppliers and contractors.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 have disclosed our significant accounting policies in </w:t>
      </w:r>
      <w:hyperlink w:anchor="page30">
        <w:r>
          <w:rPr>
            <w:rFonts w:ascii="Arial" w:cs="Arial" w:eastAsia="Arial" w:hAnsi="Arial"/>
            <w:sz w:val="18"/>
            <w:szCs w:val="18"/>
            <w:color w:val="auto"/>
          </w:rPr>
          <w:t xml:space="preserve">Note 2 </w:t>
        </w:r>
      </w:hyperlink>
      <w:r>
        <w:rPr>
          <w:rFonts w:ascii="Arial" w:cs="Arial" w:eastAsia="Arial" w:hAnsi="Arial"/>
          <w:sz w:val="18"/>
          <w:szCs w:val="18"/>
          <w:color w:val="auto"/>
        </w:rPr>
        <w:t>to the consolidated financial statements. The following provides information on the accounts requiring more significant estimates.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Allowance for Doubtful Accounts </w:t>
      </w:r>
      <w:r>
        <w:rPr>
          <w:rFonts w:ascii="Arial" w:cs="Arial" w:eastAsia="Arial" w:hAnsi="Arial"/>
          <w:sz w:val="17"/>
          <w:szCs w:val="17"/>
          <w:color w:val="auto"/>
        </w:rPr>
        <w:t>— We evaluate the collectability of accounts receivable based on a combination of factors. In circumstances where we</w:t>
      </w:r>
      <w:r>
        <w:rPr>
          <w:rFonts w:ascii="Arial" w:cs="Arial" w:eastAsia="Arial" w:hAnsi="Arial"/>
          <w:sz w:val="17"/>
          <w:szCs w:val="17"/>
          <w:i w:val="1"/>
          <w:iCs w:val="1"/>
          <w:color w:val="auto"/>
        </w:rPr>
        <w:t xml:space="preserve"> </w:t>
      </w:r>
      <w:r>
        <w:rPr>
          <w:rFonts w:ascii="Arial" w:cs="Arial" w:eastAsia="Arial" w:hAnsi="Arial"/>
          <w:sz w:val="17"/>
          <w:szCs w:val="17"/>
          <w:color w:val="auto"/>
        </w:rPr>
        <w:t>are aware of a specific customer’s inability to meet its financial obligations (e.g., bankruptcy filings, substantial down-grading of credit ratings), a specific reserve for bad debts is recorded against amounts due to reduce the receivable to the amount we believe will be collected. For all other customers, we recognize reserves for bad debts based on our historical experience of bad debt write-offs as a percent of accounts receivable outstanding. If circumstances change (e.g., higher than expected defaults or an unexpected material adverse change in a major customer’s ability to meet its financial obligations), the estimates of the recoverability of amounts due to us could be revised by a material amount. At December 31, 2018, our reserve was 1.4% of our gross accounts receivable outstanding. A hypothetical change of one percent to our reserve as a percent of our gross accounts receivable would have affected our annual doubtful accounts expense by approximately $0.4 million.</w:t>
      </w:r>
    </w:p>
    <w:p>
      <w:pPr>
        <w:spacing w:after="0" w:line="17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Inventory Reserves </w:t>
      </w:r>
      <w:r>
        <w:rPr>
          <w:rFonts w:ascii="Arial" w:cs="Arial" w:eastAsia="Arial" w:hAnsi="Arial"/>
          <w:sz w:val="16"/>
          <w:szCs w:val="16"/>
          <w:color w:val="auto"/>
        </w:rPr>
        <w:t>— Inventories consist principally of finished goods and are stated at the lower of cost (determined using the first-in-first-out method)</w:t>
      </w:r>
      <w:r>
        <w:rPr>
          <w:rFonts w:ascii="Arial" w:cs="Arial" w:eastAsia="Arial" w:hAnsi="Arial"/>
          <w:sz w:val="16"/>
          <w:szCs w:val="16"/>
          <w:i w:val="1"/>
          <w:iCs w:val="1"/>
          <w:color w:val="auto"/>
        </w:rPr>
        <w:t xml:space="preserve"> </w:t>
      </w:r>
      <w:r>
        <w:rPr>
          <w:rFonts w:ascii="Arial" w:cs="Arial" w:eastAsia="Arial" w:hAnsi="Arial"/>
          <w:sz w:val="16"/>
          <w:szCs w:val="16"/>
          <w:color w:val="auto"/>
        </w:rPr>
        <w:t>or net realizable value. Most of our products are not exposed to the risk of obsolescence due to technology changes. However, some of our products do have a limited shelf life, and from time to time we add and remove items from our catalogs, brochures or website for marketing and other purposes.</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reduce our inventory to a lower of cost or market value, we record a reserve for slow-moving and obsolete inventory based on historical experience and monitoring of our current inventory activity. We use estimates to determine the necessity of recording these reserves based on periodic detailed analysis, using both qualitative and quantitative factors. As part of this analysis, we consider several factors including the inventories’ length of time on hand, historical sales, product shelf life, product life cycle, product category and product obsolescence. In general, depending on the product category, we reserve inventory with low turnover at higher rates than inventory with higher turnover.</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2018, our inventory reserve was $5.3 million, equal to approximately 9.2% of our gross inventory. A hypothetical change of one percent to our reserve as a percent of total inventory would have affected our cost of goods sold by $0.6 million.</w:t>
      </w:r>
    </w:p>
    <w:p>
      <w:pPr>
        <w:spacing w:after="0" w:line="170" w:lineRule="exact"/>
        <w:rPr>
          <w:sz w:val="20"/>
          <w:szCs w:val="20"/>
          <w:color w:val="auto"/>
        </w:rPr>
      </w:pPr>
    </w:p>
    <w:p>
      <w:pPr>
        <w:jc w:val="both"/>
        <w:ind w:firstLine="338"/>
        <w:spacing w:after="0" w:line="288"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Deferred tax assets or liabilities reflect temporary differences between amounts of assets and liabilities for financial and tax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Such amounts are adjusted, as appropriate, to reflect changes in enacted tax rates expected to be in effect when the temporary differences reverse. A valuation allowance is established to offset any deferred tax assets if, based upon the available evidence, it is more likely than not (i.e. greater than 50% likely) that some or all of the deferred tax assets will not be realized. The determination of the amount of a valuation allowance to be provided on recorded deferred tax assets involves estimates regarding (1) the timing and amount of the reversal of taxable temporary differences, (2) expected future taxable income, (3) the impact of tax planning strategies and (4) the ability to carry back deferred tax assets to offset prior taxable income. In assessing the need for a valuation allowance, we consider all available positive and negative evidence, including past operating results, projections of future taxable income and the feasibility of ongoing tax planning strategies. The projections of future taxable income include a number of estimates and assumptions regarding our volume, pricing and costs. Additionally, valuation allowances related to deferred tax assets can be impacted by changes to tax laws. The Company recognizes the benefit of tax positions when a benefit is more likely than not (i.e., greater than 50% likely) to be sustained on its technical merits.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Recognized tax benefits are measured at the largest amount that is more likely than not to be sustained, based on cumulative probability, in final settlement of the position. Significant judgment is required in determining income tax provisions as well as deferred tax asset and liability balances, including the estimation of valuation allowances and the evaluation of uncertain tax positions.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2012, due to historical cumulative losses, we had determined it was more likely than not that we would not be able to utilize our deferred tax assets to offset future taxable income. Therefore, substantially all of our deferred tax assets were subject to a tax valuation allowance.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continued to generate pre-tax profits and have utilized some of our net operating loss carryforwards over the last two years and are now in a three year cumulative income position in the U.S. Based on available evidence, including the utilization of $13.0 million of net operating loss carryforwards in 2017, we reached a point of increased confidence in our ability to sustain profit levels and we believed it was more likely than not that we would be able to utilize a substantial amount of our deferred tax assets to offset future taxable income. Therefore, $21.2 million of our U.S. valuation allowances were released at December 31, 2017.</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Goodwill Impairment – </w:t>
      </w:r>
      <w:r>
        <w:rPr>
          <w:rFonts w:ascii="Arial" w:cs="Arial" w:eastAsia="Arial" w:hAnsi="Arial"/>
          <w:sz w:val="16"/>
          <w:szCs w:val="16"/>
          <w:color w:val="auto"/>
        </w:rPr>
        <w:t>Goodwill is tested annually during the fourth quarter, or when events occur or circumstances change that would more likely</w:t>
      </w:r>
      <w:r>
        <w:rPr>
          <w:rFonts w:ascii="Arial" w:cs="Arial" w:eastAsia="Arial" w:hAnsi="Arial"/>
          <w:sz w:val="16"/>
          <w:szCs w:val="16"/>
          <w:i w:val="1"/>
          <w:iCs w:val="1"/>
          <w:color w:val="auto"/>
        </w:rPr>
        <w:t xml:space="preserve"> </w:t>
      </w:r>
      <w:r>
        <w:rPr>
          <w:rFonts w:ascii="Arial" w:cs="Arial" w:eastAsia="Arial" w:hAnsi="Arial"/>
          <w:sz w:val="16"/>
          <w:szCs w:val="16"/>
          <w:color w:val="auto"/>
        </w:rPr>
        <w:t>than not reduce the fair value of each reporting unit below its carrying value. Qualitative factors are reviewed to determine if it is more likely than not that the fair value of the reporting unit is greater than the carrying value. The Company considers factors such as macroeconomic, industry and market conditions, cost factors, overall financial performance and other relevant factors that would affect the individual reporting segments. If we determine that it is more likely than not that the fair value of the reporting unit is greater than the carrying value of the reporting unit, then no further impairment testing is needed.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the Company is a smaller reporting company, this item is 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98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5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912"/>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540" w:type="dxa"/>
            <w:vAlign w:val="bottom"/>
          </w:tcPr>
          <w:p>
            <w:pPr>
              <w:spacing w:after="0"/>
              <w:rPr>
                <w:sz w:val="24"/>
                <w:szCs w:val="24"/>
                <w:color w:val="auto"/>
              </w:rPr>
            </w:pPr>
          </w:p>
        </w:tc>
      </w:tr>
      <w:tr>
        <w:trPr>
          <w:trHeight w:val="432"/>
        </w:trPr>
        <w:tc>
          <w:tcPr>
            <w:tcW w:w="9860" w:type="dxa"/>
            <w:vAlign w:val="bottom"/>
            <w:gridSpan w:val="2"/>
          </w:tcPr>
          <w:p>
            <w:pPr>
              <w:ind w:left="340"/>
              <w:spacing w:after="0"/>
              <w:rPr>
                <w:sz w:val="20"/>
                <w:szCs w:val="20"/>
                <w:color w:val="auto"/>
              </w:rPr>
            </w:pPr>
            <w:r>
              <w:rPr>
                <w:rFonts w:ascii="Arial" w:cs="Arial" w:eastAsia="Arial" w:hAnsi="Arial"/>
                <w:sz w:val="18"/>
                <w:szCs w:val="18"/>
                <w:color w:val="auto"/>
              </w:rPr>
              <w:t>The following information is presented in this item:</w:t>
            </w:r>
          </w:p>
        </w:tc>
        <w:tc>
          <w:tcPr>
            <w:tcW w:w="1540" w:type="dxa"/>
            <w:vAlign w:val="bottom"/>
          </w:tcPr>
          <w:p>
            <w:pPr>
              <w:spacing w:after="0"/>
              <w:rPr>
                <w:sz w:val="24"/>
                <w:szCs w:val="24"/>
                <w:color w:val="auto"/>
              </w:rPr>
            </w:pPr>
          </w:p>
        </w:tc>
      </w:tr>
      <w:tr>
        <w:trPr>
          <w:trHeight w:val="824"/>
        </w:trPr>
        <w:tc>
          <w:tcPr>
            <w:tcW w:w="9860" w:type="dxa"/>
            <w:vAlign w:val="bottom"/>
            <w:gridSpan w:val="2"/>
          </w:tcPr>
          <w:p>
            <w:pPr>
              <w:ind w:left="20"/>
              <w:spacing w:after="0"/>
              <w:rPr>
                <w:rFonts w:ascii="Arial" w:cs="Arial" w:eastAsia="Arial" w:hAnsi="Arial"/>
                <w:sz w:val="18"/>
                <w:szCs w:val="18"/>
                <w:color w:val="auto"/>
              </w:rPr>
            </w:pPr>
            <w:hyperlink w:anchor="page25">
              <w:r>
                <w:rPr>
                  <w:rFonts w:ascii="Arial" w:cs="Arial" w:eastAsia="Arial" w:hAnsi="Arial"/>
                  <w:sz w:val="18"/>
                  <w:szCs w:val="18"/>
                  <w:color w:val="auto"/>
                </w:rPr>
                <w:t>Report of Independent Registered Public Accounting Firm on Consolidated Financial Statements</w:t>
              </w:r>
            </w:hyperlink>
          </w:p>
        </w:tc>
        <w:tc>
          <w:tcPr>
            <w:tcW w:w="154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486"/>
        </w:trPr>
        <w:tc>
          <w:tcPr>
            <w:tcW w:w="9860" w:type="dxa"/>
            <w:vAlign w:val="bottom"/>
            <w:gridSpan w:val="2"/>
          </w:tcPr>
          <w:p>
            <w:pPr>
              <w:ind w:left="20"/>
              <w:spacing w:after="0"/>
              <w:rPr>
                <w:rFonts w:ascii="Arial" w:cs="Arial" w:eastAsia="Arial" w:hAnsi="Arial"/>
                <w:sz w:val="18"/>
                <w:szCs w:val="18"/>
                <w:color w:val="auto"/>
              </w:rPr>
            </w:pPr>
            <w:hyperlink w:anchor="page26">
              <w:r>
                <w:rPr>
                  <w:rFonts w:ascii="Arial" w:cs="Arial" w:eastAsia="Arial" w:hAnsi="Arial"/>
                  <w:sz w:val="18"/>
                  <w:szCs w:val="18"/>
                  <w:color w:val="auto"/>
                </w:rPr>
                <w:t>Consolidated Balance Sheets as of December 31, 2018 and 2017</w:t>
              </w:r>
            </w:hyperlink>
          </w:p>
        </w:tc>
        <w:tc>
          <w:tcPr>
            <w:tcW w:w="154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486"/>
        </w:trPr>
        <w:tc>
          <w:tcPr>
            <w:tcW w:w="9860" w:type="dxa"/>
            <w:vAlign w:val="bottom"/>
            <w:gridSpan w:val="2"/>
          </w:tcPr>
          <w:p>
            <w:pPr>
              <w:ind w:left="20"/>
              <w:spacing w:after="0"/>
              <w:rPr>
                <w:rFonts w:ascii="Arial" w:cs="Arial" w:eastAsia="Arial" w:hAnsi="Arial"/>
                <w:sz w:val="18"/>
                <w:szCs w:val="18"/>
                <w:color w:val="auto"/>
              </w:rPr>
            </w:pPr>
            <w:hyperlink w:anchor="page27">
              <w:r>
                <w:rPr>
                  <w:rFonts w:ascii="Arial" w:cs="Arial" w:eastAsia="Arial" w:hAnsi="Arial"/>
                  <w:sz w:val="18"/>
                  <w:szCs w:val="18"/>
                  <w:color w:val="auto"/>
                </w:rPr>
                <w:t>Consolidated Statements of Operations and Comprehensive Income for the Years ended December 31, 2018 and 2017</w:t>
              </w:r>
            </w:hyperlink>
          </w:p>
        </w:tc>
        <w:tc>
          <w:tcPr>
            <w:tcW w:w="154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486"/>
        </w:trPr>
        <w:tc>
          <w:tcPr>
            <w:tcW w:w="9860" w:type="dxa"/>
            <w:vAlign w:val="bottom"/>
            <w:gridSpan w:val="2"/>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Consolidated Statements of Changes in Stockholders’ Equity for the Years ended December 31, 2018 and 2017</w:t>
              </w:r>
            </w:hyperlink>
          </w:p>
        </w:tc>
        <w:tc>
          <w:tcPr>
            <w:tcW w:w="154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486"/>
        </w:trPr>
        <w:tc>
          <w:tcPr>
            <w:tcW w:w="9860" w:type="dxa"/>
            <w:vAlign w:val="bottom"/>
            <w:gridSpan w:val="2"/>
          </w:tcPr>
          <w:p>
            <w:pPr>
              <w:ind w:left="40"/>
              <w:spacing w:after="0"/>
              <w:rPr>
                <w:sz w:val="20"/>
                <w:szCs w:val="20"/>
                <w:color w:val="auto"/>
              </w:rPr>
            </w:pPr>
            <w:r>
              <w:rPr>
                <w:rFonts w:ascii="Arial" w:cs="Arial" w:eastAsia="Arial" w:hAnsi="Arial"/>
                <w:sz w:val="18"/>
                <w:szCs w:val="18"/>
                <w:color w:val="auto"/>
              </w:rPr>
              <w:t>Consolidated Statements of Cash Flows for the Years ended December 31, 2018 and 2017</w:t>
            </w:r>
          </w:p>
        </w:tc>
        <w:tc>
          <w:tcPr>
            <w:tcW w:w="15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486"/>
        </w:trPr>
        <w:tc>
          <w:tcPr>
            <w:tcW w:w="9860" w:type="dxa"/>
            <w:vAlign w:val="bottom"/>
            <w:gridSpan w:val="2"/>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Notes to Consolidated Financial Statements</w:t>
              </w:r>
            </w:hyperlink>
          </w:p>
        </w:tc>
        <w:tc>
          <w:tcPr>
            <w:tcW w:w="15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486"/>
        </w:trPr>
        <w:tc>
          <w:tcPr>
            <w:tcW w:w="9860" w:type="dxa"/>
            <w:vAlign w:val="bottom"/>
            <w:gridSpan w:val="2"/>
          </w:tcPr>
          <w:p>
            <w:pPr>
              <w:ind w:left="20"/>
              <w:spacing w:after="0"/>
              <w:rPr>
                <w:rFonts w:ascii="Arial" w:cs="Arial" w:eastAsia="Arial" w:hAnsi="Arial"/>
                <w:sz w:val="18"/>
                <w:szCs w:val="18"/>
                <w:color w:val="auto"/>
              </w:rPr>
            </w:pPr>
            <w:hyperlink w:anchor="page55">
              <w:r>
                <w:rPr>
                  <w:rFonts w:ascii="Arial" w:cs="Arial" w:eastAsia="Arial" w:hAnsi="Arial"/>
                  <w:sz w:val="18"/>
                  <w:szCs w:val="18"/>
                  <w:color w:val="auto"/>
                </w:rPr>
                <w:t>Schedule II – Valuation and Qualifying Accounts</w:t>
              </w:r>
            </w:hyperlink>
          </w:p>
        </w:tc>
        <w:tc>
          <w:tcPr>
            <w:tcW w:w="154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55</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-2220595</wp:posOffset>
            </wp:positionV>
            <wp:extent cx="4763"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08"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Lawson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consolidated balance sheets of Lawson Products, Inc. (the “Company”) and subsidiaries as of December 31, 2018 and 2017, the related consolidated statements of operations and comprehensive income, changes in stockholders’ equity, and cash flows for each of the two years in the period ended December 31, 2018, and the related notes and financial statement schedule listed in the accompanying index (collectively referred to as the “consolidated financial statements”). In our opinion, the consolidated financial statements present fairly, in all material respects, the financial position of the Company and subsidiaries at December 31, 2018 and 2017, and the results of their operations and their cash flows for each of the two years in the period ended December 31, 2018</w:t>
      </w:r>
      <w:r>
        <w:rPr>
          <w:rFonts w:ascii="Arial" w:cs="Arial" w:eastAsia="Arial" w:hAnsi="Arial"/>
          <w:sz w:val="16"/>
          <w:szCs w:val="16"/>
          <w:b w:val="1"/>
          <w:bCs w:val="1"/>
          <w:color w:val="auto"/>
        </w:rPr>
        <w:t>,</w:t>
      </w:r>
      <w:r>
        <w:rPr>
          <w:rFonts w:ascii="Arial" w:cs="Arial" w:eastAsia="Arial" w:hAnsi="Arial"/>
          <w:sz w:val="16"/>
          <w:szCs w:val="16"/>
          <w:color w:val="auto"/>
        </w:rPr>
        <w:t xml:space="preserve"> in conformity with accounting principles generally accepted in the United States of America.</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March 4,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auditors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2019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Lawson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4,416</w:t>
            </w:r>
          </w:p>
        </w:tc>
      </w:tr>
      <w:tr>
        <w:trPr>
          <w:trHeight w:val="243"/>
        </w:trPr>
        <w:tc>
          <w:tcPr>
            <w:tcW w:w="834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receivable, less allowance for doubtful accounts of $549 and $476, respectively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37,682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38,575</w:t>
            </w:r>
          </w:p>
        </w:tc>
      </w:tr>
      <w:tr>
        <w:trPr>
          <w:trHeight w:val="243"/>
        </w:trPr>
        <w:tc>
          <w:tcPr>
            <w:tcW w:w="8340" w:type="dxa"/>
            <w:vAlign w:val="bottom"/>
          </w:tcPr>
          <w:p>
            <w:pPr>
              <w:ind w:left="240"/>
              <w:spacing w:after="0"/>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52,887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50,928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Miscellaneous receivables and prepaid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3,728</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106,905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98,447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Property, plant and equipment, less accumulated 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23,548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27,333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20,079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19,614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value of life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13,112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11,813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197,142</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191,111</w:t>
            </w:r>
          </w:p>
        </w:tc>
      </w:tr>
      <w:tr>
        <w:trPr>
          <w:trHeight w:val="67"/>
        </w:trPr>
        <w:tc>
          <w:tcPr>
            <w:tcW w:w="83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97"/>
        </w:trPr>
        <w:tc>
          <w:tcPr>
            <w:tcW w:w="8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3"/>
        </w:trPr>
        <w:tc>
          <w:tcPr>
            <w:tcW w:w="8340" w:type="dxa"/>
            <w:vAlign w:val="bottom"/>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60"/>
              <w:spacing w:after="0"/>
              <w:rPr>
                <w:sz w:val="20"/>
                <w:szCs w:val="20"/>
                <w:color w:val="auto"/>
              </w:rPr>
            </w:pPr>
            <w:r>
              <w:rPr>
                <w:rFonts w:ascii="Arial" w:cs="Arial" w:eastAsia="Arial" w:hAnsi="Arial"/>
                <w:sz w:val="18"/>
                <w:szCs w:val="18"/>
                <w:color w:val="auto"/>
              </w:rPr>
              <w:t>Revolving lines of credit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10,823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14,543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12,394</w:t>
            </w:r>
          </w:p>
        </w:tc>
      </w:tr>
      <w:tr>
        <w:trPr>
          <w:trHeight w:val="243"/>
        </w:trPr>
        <w:tc>
          <w:tcPr>
            <w:tcW w:w="8340" w:type="dxa"/>
            <w:vAlign w:val="bottom"/>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40,179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33,040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59,977</w:t>
            </w:r>
          </w:p>
        </w:tc>
      </w:tr>
      <w:tr>
        <w:trPr>
          <w:trHeight w:val="216"/>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Security bonus plan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12,981</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Financing lease obligation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5,213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6,420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5,476</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Deferred rent liability</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3,512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3,559</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5,696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97,969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97,621</w:t>
            </w:r>
          </w:p>
        </w:tc>
      </w:tr>
      <w:tr>
        <w:trPr>
          <w:trHeight w:val="210"/>
        </w:trPr>
        <w:tc>
          <w:tcPr>
            <w:tcW w:w="8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 Note 15</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16"/>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40"/>
              <w:spacing w:after="0"/>
              <w:rPr>
                <w:sz w:val="20"/>
                <w:szCs w:val="20"/>
                <w:color w:val="auto"/>
              </w:rPr>
            </w:pPr>
            <w:r>
              <w:rPr>
                <w:rFonts w:ascii="Arial" w:cs="Arial" w:eastAsia="Arial" w:hAnsi="Arial"/>
                <w:sz w:val="18"/>
                <w:szCs w:val="18"/>
                <w:color w:val="auto"/>
              </w:rPr>
              <w:t>Preferred stock, $1 par value: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Authorized - 500,000 shares, issued and outstanding - None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40"/>
              <w:spacing w:after="0"/>
              <w:rPr>
                <w:sz w:val="20"/>
                <w:szCs w:val="20"/>
                <w:color w:val="auto"/>
              </w:rPr>
            </w:pPr>
            <w:r>
              <w:rPr>
                <w:rFonts w:ascii="Arial" w:cs="Arial" w:eastAsia="Arial" w:hAnsi="Arial"/>
                <w:sz w:val="18"/>
                <w:szCs w:val="18"/>
                <w:color w:val="auto"/>
              </w:rPr>
              <w:t>Common stock, $1 par value: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Authorized - 35,000,000 shares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6"/>
        </w:trPr>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Issued – 9,005,716 and 8,921,302 shares, respectively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7"/>
        </w:trPr>
        <w:tc>
          <w:tcPr>
            <w:tcW w:w="8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Outstanding – 8,955,930 and 8,888,028 shares,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8,921</w:t>
            </w:r>
          </w:p>
        </w:tc>
      </w:tr>
      <w:tr>
        <w:trPr>
          <w:trHeight w:val="243"/>
        </w:trPr>
        <w:tc>
          <w:tcPr>
            <w:tcW w:w="8340" w:type="dxa"/>
            <w:vAlign w:val="bottom"/>
          </w:tcPr>
          <w:p>
            <w:pPr>
              <w:ind w:left="240"/>
              <w:spacing w:after="0"/>
              <w:rPr>
                <w:sz w:val="20"/>
                <w:szCs w:val="20"/>
                <w:color w:val="auto"/>
              </w:rPr>
            </w:pPr>
            <w:r>
              <w:rPr>
                <w:rFonts w:ascii="Arial" w:cs="Arial" w:eastAsia="Arial" w:hAnsi="Arial"/>
                <w:sz w:val="18"/>
                <w:szCs w:val="18"/>
                <w:color w:val="auto"/>
              </w:rPr>
              <w:t>Capital in excess of par value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15,623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13,005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71,453</w:t>
            </w:r>
          </w:p>
        </w:tc>
      </w:tr>
      <w:tr>
        <w:trPr>
          <w:trHeight w:val="243"/>
        </w:trPr>
        <w:tc>
          <w:tcPr>
            <w:tcW w:w="8340" w:type="dxa"/>
            <w:vAlign w:val="bottom"/>
          </w:tcPr>
          <w:p>
            <w:pPr>
              <w:ind w:left="240"/>
              <w:spacing w:after="0"/>
              <w:rPr>
                <w:sz w:val="20"/>
                <w:szCs w:val="20"/>
                <w:color w:val="auto"/>
              </w:rPr>
            </w:pPr>
            <w:r>
              <w:rPr>
                <w:rFonts w:ascii="Arial" w:cs="Arial" w:eastAsia="Arial" w:hAnsi="Arial"/>
                <w:sz w:val="18"/>
                <w:szCs w:val="18"/>
                <w:color w:val="auto"/>
              </w:rPr>
              <w:t>Treasury stock – 49,786 and 33,274 shares held, respectively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 income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r>
      <w:tr>
        <w:trPr>
          <w:trHeight w:val="237"/>
        </w:trPr>
        <w:tc>
          <w:tcPr>
            <w:tcW w:w="8340" w:type="dxa"/>
            <w:vAlign w:val="bottom"/>
          </w:tcPr>
          <w:p>
            <w:pPr>
              <w:ind w:left="460"/>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99,173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93,490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197,142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191,111</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364" w:right="239" w:bottom="97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64" w:right="239" w:bottom="973"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472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0"/>
              </w:rPr>
              <w:t>Lawson Products, Inc.</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240" w:type="dxa"/>
            <w:vAlign w:val="bottom"/>
            <w:gridSpan w:val="3"/>
          </w:tcPr>
          <w:p>
            <w:pPr>
              <w:jc w:val="center"/>
              <w:ind w:left="1550"/>
              <w:spacing w:after="0"/>
              <w:rPr>
                <w:sz w:val="20"/>
                <w:szCs w:val="20"/>
                <w:color w:val="auto"/>
              </w:rPr>
            </w:pPr>
            <w:r>
              <w:rPr>
                <w:rFonts w:ascii="Arial" w:cs="Arial" w:eastAsia="Arial" w:hAnsi="Arial"/>
                <w:sz w:val="18"/>
                <w:szCs w:val="18"/>
                <w:b w:val="1"/>
                <w:bCs w:val="1"/>
                <w:color w:val="auto"/>
                <w:w w:val="89"/>
              </w:rPr>
              <w:t>Consolidated Statements of Operations and Comprehensive Income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72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9"/>
              </w:rPr>
              <w:t>(Dollars in thousands, except per share data)</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00" w:type="dxa"/>
            <w:vAlign w:val="bottom"/>
            <w:gridSpan w:val="4"/>
          </w:tcPr>
          <w:p>
            <w:pPr>
              <w:jc w:val="right"/>
              <w:ind w:right="610"/>
              <w:spacing w:after="0"/>
              <w:rPr>
                <w:sz w:val="20"/>
                <w:szCs w:val="20"/>
                <w:color w:val="auto"/>
              </w:rPr>
            </w:pPr>
            <w:r>
              <w:rPr>
                <w:rFonts w:ascii="Arial" w:cs="Arial" w:eastAsia="Arial" w:hAnsi="Arial"/>
                <w:sz w:val="18"/>
                <w:szCs w:val="18"/>
                <w:color w:val="auto"/>
              </w:rPr>
              <w:t>Year Ended December 31,</w:t>
            </w:r>
          </w:p>
        </w:tc>
      </w:tr>
      <w:tr>
        <w:trPr>
          <w:trHeight w:val="27"/>
        </w:trPr>
        <w:tc>
          <w:tcPr>
            <w:tcW w:w="1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12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47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310,204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305,907</w:t>
            </w:r>
          </w:p>
        </w:tc>
      </w:tr>
      <w:tr>
        <w:trPr>
          <w:trHeight w:val="243"/>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Service revenue</w:t>
            </w:r>
          </w:p>
        </w:tc>
        <w:tc>
          <w:tcPr>
            <w:tcW w:w="4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39,433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Total revenue</w:t>
            </w:r>
          </w:p>
        </w:tc>
        <w:tc>
          <w:tcPr>
            <w:tcW w:w="4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349,637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305,907</w:t>
            </w:r>
          </w:p>
        </w:tc>
      </w:tr>
      <w:tr>
        <w:trPr>
          <w:trHeight w:val="297"/>
        </w:trPr>
        <w:tc>
          <w:tcPr>
            <w:tcW w:w="1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Product cost of goods sold</w:t>
            </w:r>
          </w:p>
        </w:tc>
        <w:tc>
          <w:tcPr>
            <w:tcW w:w="4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122,889</w:t>
            </w:r>
          </w:p>
        </w:tc>
      </w:tr>
      <w:tr>
        <w:trPr>
          <w:trHeight w:val="243"/>
        </w:trPr>
        <w:tc>
          <w:tcPr>
            <w:tcW w:w="3800" w:type="dxa"/>
            <w:vAlign w:val="bottom"/>
            <w:gridSpan w:val="2"/>
          </w:tcPr>
          <w:p>
            <w:pPr>
              <w:ind w:left="40"/>
              <w:spacing w:after="0"/>
              <w:rPr>
                <w:sz w:val="20"/>
                <w:szCs w:val="20"/>
                <w:color w:val="auto"/>
              </w:rPr>
            </w:pPr>
            <w:r>
              <w:rPr>
                <w:rFonts w:ascii="Arial" w:cs="Arial" w:eastAsia="Arial" w:hAnsi="Arial"/>
                <w:sz w:val="18"/>
                <w:szCs w:val="18"/>
                <w:color w:val="auto"/>
              </w:rPr>
              <w:t>Service cost</w:t>
            </w:r>
          </w:p>
        </w:tc>
        <w:tc>
          <w:tcPr>
            <w:tcW w:w="4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14,604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3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43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189,540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183,018</w:t>
            </w:r>
          </w:p>
        </w:tc>
      </w:tr>
      <w:tr>
        <w:trPr>
          <w:trHeight w:val="291"/>
        </w:trPr>
        <w:tc>
          <w:tcPr>
            <w:tcW w:w="1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Selling expenses</w:t>
            </w:r>
          </w:p>
        </w:tc>
        <w:tc>
          <w:tcPr>
            <w:tcW w:w="4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87,642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98,025</w:t>
            </w:r>
          </w:p>
        </w:tc>
      </w:tr>
      <w:tr>
        <w:trPr>
          <w:trHeight w:val="27"/>
        </w:trPr>
        <w:tc>
          <w:tcPr>
            <w:tcW w:w="1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expenses</w:t>
            </w:r>
          </w:p>
        </w:tc>
        <w:tc>
          <w:tcPr>
            <w:tcW w:w="43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92,688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80,479</w:t>
            </w:r>
          </w:p>
        </w:tc>
      </w:tr>
      <w:tr>
        <w:trPr>
          <w:trHeight w:val="237"/>
        </w:trPr>
        <w:tc>
          <w:tcPr>
            <w:tcW w:w="3800" w:type="dxa"/>
            <w:vAlign w:val="bottom"/>
            <w:gridSpan w:val="2"/>
          </w:tcPr>
          <w:p>
            <w:pPr>
              <w:ind w:left="480"/>
              <w:spacing w:after="0"/>
              <w:rPr>
                <w:sz w:val="20"/>
                <w:szCs w:val="20"/>
                <w:color w:val="auto"/>
              </w:rPr>
            </w:pPr>
            <w:r>
              <w:rPr>
                <w:rFonts w:ascii="Arial" w:cs="Arial" w:eastAsia="Arial" w:hAnsi="Arial"/>
                <w:sz w:val="18"/>
                <w:szCs w:val="18"/>
                <w:color w:val="auto"/>
              </w:rPr>
              <w:t>Total SG&amp;A</w:t>
            </w:r>
          </w:p>
        </w:tc>
        <w:tc>
          <w:tcPr>
            <w:tcW w:w="43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180,330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178,504</w:t>
            </w:r>
          </w:p>
        </w:tc>
      </w:tr>
      <w:tr>
        <w:trPr>
          <w:trHeight w:val="27"/>
        </w:trPr>
        <w:tc>
          <w:tcPr>
            <w:tcW w:w="1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Gain on sale of property</w:t>
            </w:r>
          </w:p>
        </w:tc>
        <w:tc>
          <w:tcPr>
            <w:tcW w:w="43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w:t>
            </w:r>
          </w:p>
        </w:tc>
      </w:tr>
      <w:tr>
        <w:trPr>
          <w:trHeight w:val="237"/>
        </w:trPr>
        <w:tc>
          <w:tcPr>
            <w:tcW w:w="3800" w:type="dxa"/>
            <w:vAlign w:val="bottom"/>
            <w:gridSpan w:val="2"/>
          </w:tcPr>
          <w:p>
            <w:pPr>
              <w:ind w:left="480"/>
              <w:spacing w:after="0"/>
              <w:rPr>
                <w:sz w:val="20"/>
                <w:szCs w:val="20"/>
                <w:color w:val="auto"/>
              </w:rPr>
            </w:pPr>
            <w:r>
              <w:rPr>
                <w:rFonts w:ascii="Arial" w:cs="Arial" w:eastAsia="Arial" w:hAnsi="Arial"/>
                <w:sz w:val="18"/>
                <w:szCs w:val="18"/>
                <w:color w:val="auto"/>
              </w:rPr>
              <w:t>Operating expenses</w:t>
            </w:r>
          </w:p>
        </w:tc>
        <w:tc>
          <w:tcPr>
            <w:tcW w:w="43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180,330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173,082</w:t>
            </w:r>
          </w:p>
        </w:tc>
      </w:tr>
      <w:tr>
        <w:trPr>
          <w:trHeight w:val="27"/>
        </w:trPr>
        <w:tc>
          <w:tcPr>
            <w:tcW w:w="12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128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4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3800" w:type="dxa"/>
            <w:vAlign w:val="bottom"/>
            <w:gridSpan w:val="2"/>
          </w:tcPr>
          <w:p>
            <w:pPr>
              <w:ind w:left="480"/>
              <w:spacing w:after="0"/>
              <w:rPr>
                <w:sz w:val="20"/>
                <w:szCs w:val="20"/>
                <w:color w:val="auto"/>
              </w:rPr>
            </w:pPr>
            <w:r>
              <w:rPr>
                <w:rFonts w:ascii="Arial" w:cs="Arial" w:eastAsia="Arial" w:hAnsi="Arial"/>
                <w:sz w:val="18"/>
                <w:szCs w:val="18"/>
                <w:b w:val="1"/>
                <w:bCs w:val="1"/>
                <w:color w:val="auto"/>
              </w:rPr>
              <w:t>Operating income</w:t>
            </w:r>
          </w:p>
        </w:tc>
        <w:tc>
          <w:tcPr>
            <w:tcW w:w="4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9,210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9,936</w:t>
            </w:r>
          </w:p>
        </w:tc>
      </w:tr>
      <w:tr>
        <w:trPr>
          <w:trHeight w:val="27"/>
        </w:trPr>
        <w:tc>
          <w:tcPr>
            <w:tcW w:w="1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128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4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4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7"/>
        </w:trPr>
        <w:tc>
          <w:tcPr>
            <w:tcW w:w="1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(expenses), net</w:t>
            </w:r>
          </w:p>
        </w:tc>
        <w:tc>
          <w:tcPr>
            <w:tcW w:w="43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w:t>
            </w:r>
          </w:p>
        </w:tc>
      </w:tr>
      <w:tr>
        <w:trPr>
          <w:trHeight w:val="291"/>
        </w:trPr>
        <w:tc>
          <w:tcPr>
            <w:tcW w:w="1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4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10,094</w:t>
            </w:r>
          </w:p>
        </w:tc>
      </w:tr>
      <w:tr>
        <w:trPr>
          <w:trHeight w:val="243"/>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Income tax (benefit) expense</w:t>
            </w:r>
          </w:p>
        </w:tc>
        <w:tc>
          <w:tcPr>
            <w:tcW w:w="4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(19,594)</w:t>
            </w:r>
          </w:p>
        </w:tc>
      </w:tr>
      <w:tr>
        <w:trPr>
          <w:trHeight w:val="27"/>
        </w:trPr>
        <w:tc>
          <w:tcPr>
            <w:tcW w:w="12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128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4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304"/>
        </w:trPr>
        <w:tc>
          <w:tcPr>
            <w:tcW w:w="380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 income</w:t>
            </w:r>
          </w:p>
        </w:tc>
        <w:tc>
          <w:tcPr>
            <w:tcW w:w="4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6,214</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29,688</w:t>
            </w:r>
          </w:p>
        </w:tc>
      </w:tr>
      <w:tr>
        <w:trPr>
          <w:trHeight w:val="284"/>
        </w:trPr>
        <w:tc>
          <w:tcPr>
            <w:tcW w:w="1280" w:type="dxa"/>
            <w:vAlign w:val="bottom"/>
            <w:tcBorders>
              <w:top w:val="single" w:sz="8" w:color="CCEEFF"/>
            </w:tcBorders>
            <w:shd w:val="clear" w:color="auto" w:fill="CCEEFF"/>
          </w:tcPr>
          <w:p>
            <w:pPr>
              <w:spacing w:after="0"/>
              <w:rPr>
                <w:sz w:val="24"/>
                <w:szCs w:val="24"/>
                <w:color w:val="auto"/>
              </w:rPr>
            </w:pPr>
          </w:p>
        </w:tc>
        <w:tc>
          <w:tcPr>
            <w:tcW w:w="2520" w:type="dxa"/>
            <w:vAlign w:val="bottom"/>
            <w:tcBorders>
              <w:top w:val="single" w:sz="8" w:color="CCEEFF"/>
            </w:tcBorders>
            <w:shd w:val="clear" w:color="auto" w:fill="CCEEFF"/>
          </w:tcPr>
          <w:p>
            <w:pPr>
              <w:spacing w:after="0"/>
              <w:rPr>
                <w:sz w:val="24"/>
                <w:szCs w:val="24"/>
                <w:color w:val="auto"/>
              </w:rPr>
            </w:pPr>
          </w:p>
        </w:tc>
        <w:tc>
          <w:tcPr>
            <w:tcW w:w="432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r>
      <w:tr>
        <w:trPr>
          <w:trHeight w:val="304"/>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Basic income per share of common stock</w:t>
            </w:r>
          </w:p>
        </w:tc>
        <w:tc>
          <w:tcPr>
            <w:tcW w:w="4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3.35</w:t>
            </w:r>
          </w:p>
        </w:tc>
      </w:tr>
      <w:tr>
        <w:trPr>
          <w:trHeight w:val="284"/>
        </w:trPr>
        <w:tc>
          <w:tcPr>
            <w:tcW w:w="1280" w:type="dxa"/>
            <w:vAlign w:val="bottom"/>
            <w:tcBorders>
              <w:top w:val="single" w:sz="8" w:color="CCEEFF"/>
            </w:tcBorders>
            <w:shd w:val="clear" w:color="auto" w:fill="CCEEFF"/>
          </w:tcPr>
          <w:p>
            <w:pPr>
              <w:spacing w:after="0"/>
              <w:rPr>
                <w:sz w:val="24"/>
                <w:szCs w:val="24"/>
                <w:color w:val="auto"/>
              </w:rPr>
            </w:pPr>
          </w:p>
        </w:tc>
        <w:tc>
          <w:tcPr>
            <w:tcW w:w="2520" w:type="dxa"/>
            <w:vAlign w:val="bottom"/>
            <w:tcBorders>
              <w:top w:val="single" w:sz="8" w:color="CCEEFF"/>
            </w:tcBorders>
            <w:shd w:val="clear" w:color="auto" w:fill="CCEEFF"/>
          </w:tcPr>
          <w:p>
            <w:pPr>
              <w:spacing w:after="0"/>
              <w:rPr>
                <w:sz w:val="24"/>
                <w:szCs w:val="24"/>
                <w:color w:val="auto"/>
              </w:rPr>
            </w:pPr>
          </w:p>
        </w:tc>
        <w:tc>
          <w:tcPr>
            <w:tcW w:w="432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r>
      <w:tr>
        <w:trPr>
          <w:trHeight w:val="304"/>
        </w:trPr>
        <w:tc>
          <w:tcPr>
            <w:tcW w:w="3800" w:type="dxa"/>
            <w:vAlign w:val="bottom"/>
            <w:gridSpan w:val="2"/>
          </w:tcPr>
          <w:p>
            <w:pPr>
              <w:ind w:left="40"/>
              <w:spacing w:after="0"/>
              <w:rPr>
                <w:sz w:val="20"/>
                <w:szCs w:val="20"/>
                <w:color w:val="auto"/>
              </w:rPr>
            </w:pPr>
            <w:r>
              <w:rPr>
                <w:rFonts w:ascii="Arial" w:cs="Arial" w:eastAsia="Arial" w:hAnsi="Arial"/>
                <w:sz w:val="18"/>
                <w:szCs w:val="18"/>
                <w:b w:val="1"/>
                <w:bCs w:val="1"/>
                <w:color w:val="auto"/>
              </w:rPr>
              <w:t>Diluted income per share of common stock</w:t>
            </w:r>
          </w:p>
        </w:tc>
        <w:tc>
          <w:tcPr>
            <w:tcW w:w="4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3.25</w:t>
            </w:r>
          </w:p>
        </w:tc>
      </w:tr>
      <w:tr>
        <w:trPr>
          <w:trHeight w:val="284"/>
        </w:trPr>
        <w:tc>
          <w:tcPr>
            <w:tcW w:w="1280" w:type="dxa"/>
            <w:vAlign w:val="bottom"/>
            <w:tcBorders>
              <w:top w:val="single" w:sz="8" w:color="CCEEFF"/>
            </w:tcBorders>
            <w:shd w:val="clear" w:color="auto" w:fill="CCEEFF"/>
          </w:tcPr>
          <w:p>
            <w:pPr>
              <w:spacing w:after="0"/>
              <w:rPr>
                <w:sz w:val="24"/>
                <w:szCs w:val="24"/>
                <w:color w:val="auto"/>
              </w:rPr>
            </w:pPr>
          </w:p>
        </w:tc>
        <w:tc>
          <w:tcPr>
            <w:tcW w:w="2520" w:type="dxa"/>
            <w:vAlign w:val="bottom"/>
            <w:tcBorders>
              <w:top w:val="single" w:sz="8" w:color="CCEEFF"/>
            </w:tcBorders>
            <w:shd w:val="clear" w:color="auto" w:fill="CCEEFF"/>
          </w:tcPr>
          <w:p>
            <w:pPr>
              <w:spacing w:after="0"/>
              <w:rPr>
                <w:sz w:val="24"/>
                <w:szCs w:val="24"/>
                <w:color w:val="auto"/>
              </w:rPr>
            </w:pPr>
          </w:p>
        </w:tc>
        <w:tc>
          <w:tcPr>
            <w:tcW w:w="432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r>
      <w:tr>
        <w:trPr>
          <w:trHeight w:val="243"/>
        </w:trPr>
        <w:tc>
          <w:tcPr>
            <w:tcW w:w="380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4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4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8,864</w:t>
            </w:r>
          </w:p>
        </w:tc>
      </w:tr>
      <w:tr>
        <w:trPr>
          <w:trHeight w:val="243"/>
        </w:trPr>
        <w:tc>
          <w:tcPr>
            <w:tcW w:w="3800" w:type="dxa"/>
            <w:vAlign w:val="bottom"/>
            <w:gridSpan w:val="2"/>
          </w:tcPr>
          <w:p>
            <w:pPr>
              <w:ind w:left="200"/>
              <w:spacing w:after="0"/>
              <w:rPr>
                <w:sz w:val="20"/>
                <w:szCs w:val="20"/>
                <w:color w:val="auto"/>
              </w:rPr>
            </w:pPr>
            <w:r>
              <w:rPr>
                <w:rFonts w:ascii="Arial" w:cs="Arial" w:eastAsia="Arial" w:hAnsi="Arial"/>
                <w:sz w:val="18"/>
                <w:szCs w:val="18"/>
                <w:color w:val="auto"/>
              </w:rPr>
              <w:t>Effect of dilutive securities outstanding</w:t>
            </w:r>
          </w:p>
        </w:tc>
        <w:tc>
          <w:tcPr>
            <w:tcW w:w="4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267</w:t>
            </w:r>
          </w:p>
        </w:tc>
      </w:tr>
      <w:tr>
        <w:trPr>
          <w:trHeight w:val="27"/>
        </w:trPr>
        <w:tc>
          <w:tcPr>
            <w:tcW w:w="12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w w:val="94"/>
              </w:rPr>
              <w:t>Diluted weighted average shares outstanding</w:t>
            </w:r>
          </w:p>
        </w:tc>
        <w:tc>
          <w:tcPr>
            <w:tcW w:w="43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9,131</w:t>
            </w:r>
          </w:p>
        </w:tc>
      </w:tr>
      <w:tr>
        <w:trPr>
          <w:trHeight w:val="20"/>
        </w:trPr>
        <w:tc>
          <w:tcPr>
            <w:tcW w:w="1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1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3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4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80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4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6,214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29,688</w:t>
            </w:r>
          </w:p>
        </w:tc>
      </w:tr>
      <w:tr>
        <w:trPr>
          <w:trHeight w:val="27"/>
        </w:trPr>
        <w:tc>
          <w:tcPr>
            <w:tcW w:w="1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5"/>
              </w:rPr>
              <w:t>Other comprehensive income (loss), net of tax:</w:t>
            </w:r>
          </w:p>
        </w:tc>
        <w:tc>
          <w:tcPr>
            <w:tcW w:w="4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800" w:type="dxa"/>
            <w:vAlign w:val="bottom"/>
            <w:gridSpan w:val="2"/>
          </w:tcPr>
          <w:p>
            <w:pPr>
              <w:ind w:left="320"/>
              <w:spacing w:after="0"/>
              <w:rPr>
                <w:sz w:val="20"/>
                <w:szCs w:val="20"/>
                <w:color w:val="auto"/>
              </w:rPr>
            </w:pPr>
            <w:r>
              <w:rPr>
                <w:rFonts w:ascii="Arial" w:cs="Arial" w:eastAsia="Arial" w:hAnsi="Arial"/>
                <w:sz w:val="18"/>
                <w:szCs w:val="18"/>
                <w:color w:val="auto"/>
              </w:rPr>
              <w:t>Adjustment for foreign currency translation</w:t>
            </w:r>
          </w:p>
        </w:tc>
        <w:tc>
          <w:tcPr>
            <w:tcW w:w="4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861</w:t>
            </w:r>
          </w:p>
        </w:tc>
      </w:tr>
      <w:tr>
        <w:trPr>
          <w:trHeight w:val="27"/>
        </w:trPr>
        <w:tc>
          <w:tcPr>
            <w:tcW w:w="12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Comprehensive income</w:t>
            </w:r>
          </w:p>
        </w:tc>
        <w:tc>
          <w:tcPr>
            <w:tcW w:w="4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30,549</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08"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Lawson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00" w:type="dxa"/>
            <w:vAlign w:val="bottom"/>
          </w:tcPr>
          <w:p>
            <w:pPr>
              <w:spacing w:after="0"/>
              <w:rPr>
                <w:sz w:val="16"/>
                <w:szCs w:val="16"/>
                <w:color w:val="auto"/>
              </w:rPr>
            </w:pPr>
          </w:p>
        </w:tc>
        <w:tc>
          <w:tcPr>
            <w:tcW w:w="15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color w:val="auto"/>
                <w:w w:val="96"/>
              </w:rPr>
              <w:t>Common Stock</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43"/>
        </w:trPr>
        <w:tc>
          <w:tcPr>
            <w:tcW w:w="3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3" w:lineRule="exact"/>
              <w:rPr>
                <w:sz w:val="20"/>
                <w:szCs w:val="20"/>
                <w:color w:val="auto"/>
              </w:rPr>
            </w:pPr>
            <w:r>
              <w:rPr>
                <w:rFonts w:ascii="Arial" w:cs="Arial" w:eastAsia="Arial" w:hAnsi="Arial"/>
                <w:sz w:val="14"/>
                <w:szCs w:val="14"/>
                <w:color w:val="auto"/>
                <w:w w:val="95"/>
              </w:rPr>
              <w:t>Capital in</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3" w:lineRule="exact"/>
              <w:rPr>
                <w:sz w:val="20"/>
                <w:szCs w:val="20"/>
                <w:color w:val="auto"/>
              </w:rPr>
            </w:pPr>
            <w:r>
              <w:rPr>
                <w:rFonts w:ascii="Arial" w:cs="Arial" w:eastAsia="Arial" w:hAnsi="Arial"/>
                <w:sz w:val="14"/>
                <w:szCs w:val="14"/>
                <w:color w:val="auto"/>
                <w:w w:val="95"/>
              </w:rPr>
              <w:t>Accumulated Other</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Outstanding</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Excess of Par</w:t>
            </w:r>
          </w:p>
        </w:tc>
        <w:tc>
          <w:tcPr>
            <w:tcW w:w="20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Retained</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Comprehensive</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Total Stockholders'</w:t>
            </w:r>
          </w:p>
        </w:tc>
      </w:tr>
      <w:tr>
        <w:trPr>
          <w:trHeight w:val="188"/>
        </w:trPr>
        <w:tc>
          <w:tcPr>
            <w:tcW w:w="31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Shares</w:t>
            </w:r>
          </w:p>
        </w:tc>
        <w:tc>
          <w:tcPr>
            <w:tcW w:w="900" w:type="dxa"/>
            <w:vAlign w:val="bottom"/>
            <w:gridSpan w:val="3"/>
          </w:tcPr>
          <w:p>
            <w:pPr>
              <w:ind w:left="40"/>
              <w:spacing w:after="0"/>
              <w:rPr>
                <w:sz w:val="20"/>
                <w:szCs w:val="20"/>
                <w:color w:val="auto"/>
              </w:rPr>
            </w:pPr>
            <w:r>
              <w:rPr>
                <w:rFonts w:ascii="Arial" w:cs="Arial" w:eastAsia="Arial" w:hAnsi="Arial"/>
                <w:sz w:val="14"/>
                <w:szCs w:val="14"/>
                <w:color w:val="auto"/>
              </w:rPr>
              <w:t>$1 Par Value</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Value</w:t>
            </w:r>
          </w:p>
        </w:tc>
        <w:tc>
          <w:tcPr>
            <w:tcW w:w="20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Earnings</w:t>
            </w:r>
          </w:p>
        </w:tc>
        <w:tc>
          <w:tcPr>
            <w:tcW w:w="1140" w:type="dxa"/>
            <w:vAlign w:val="bottom"/>
            <w:gridSpan w:val="3"/>
          </w:tcPr>
          <w:p>
            <w:pPr>
              <w:ind w:left="80"/>
              <w:spacing w:after="0"/>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Income (Loss)</w:t>
            </w:r>
          </w:p>
        </w:tc>
        <w:tc>
          <w:tcPr>
            <w:tcW w:w="280" w:type="dxa"/>
            <w:vAlign w:val="bottom"/>
          </w:tcPr>
          <w:p>
            <w:pPr>
              <w:spacing w:after="0"/>
              <w:rPr>
                <w:sz w:val="16"/>
                <w:szCs w:val="16"/>
                <w:color w:val="auto"/>
              </w:rPr>
            </w:pPr>
          </w:p>
        </w:tc>
        <w:tc>
          <w:tcPr>
            <w:tcW w:w="980" w:type="dxa"/>
            <w:vAlign w:val="bottom"/>
          </w:tcPr>
          <w:p>
            <w:pPr>
              <w:jc w:val="right"/>
              <w:ind w:right="351"/>
              <w:spacing w:after="0"/>
              <w:rPr>
                <w:sz w:val="20"/>
                <w:szCs w:val="20"/>
                <w:color w:val="auto"/>
              </w:rPr>
            </w:pPr>
            <w:r>
              <w:rPr>
                <w:rFonts w:ascii="Arial" w:cs="Arial" w:eastAsia="Arial" w:hAnsi="Arial"/>
                <w:sz w:val="14"/>
                <w:szCs w:val="14"/>
                <w:color w:val="auto"/>
              </w:rPr>
              <w:t>Equity</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Balance at January 1, 2017</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8,832,623</w:t>
            </w:r>
          </w:p>
        </w:tc>
        <w:tc>
          <w:tcPr>
            <w:tcW w:w="120" w:type="dxa"/>
            <w:vAlign w:val="bottom"/>
          </w:tcPr>
          <w:p>
            <w:pPr>
              <w:spacing w:after="0"/>
              <w:rPr>
                <w:sz w:val="21"/>
                <w:szCs w:val="21"/>
                <w:color w:val="auto"/>
              </w:rPr>
            </w:pP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8,865</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11,055</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41,943</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61,133</w:t>
            </w:r>
          </w:p>
        </w:tc>
      </w:tr>
      <w:tr>
        <w:trPr>
          <w:trHeight w:val="27"/>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3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70"/>
        </w:trPr>
        <w:tc>
          <w:tcPr>
            <w:tcW w:w="3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Change in accounting principle </w:t>
            </w:r>
            <w:r>
              <w:rPr>
                <w:rFonts w:ascii="Arial" w:cs="Arial" w:eastAsia="Arial" w:hAnsi="Arial"/>
                <w:sz w:val="25"/>
                <w:szCs w:val="25"/>
                <w:color w:val="auto"/>
                <w:vertAlign w:val="superscript"/>
              </w:rPr>
              <w:t>(1)</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29,688</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Adjustment for foreign currency</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100" w:type="dxa"/>
            <w:vAlign w:val="bottom"/>
          </w:tcPr>
          <w:p>
            <w:pPr>
              <w:ind w:left="200"/>
              <w:spacing w:after="0"/>
              <w:rPr>
                <w:sz w:val="20"/>
                <w:szCs w:val="20"/>
                <w:color w:val="auto"/>
              </w:rPr>
            </w:pPr>
            <w:r>
              <w:rPr>
                <w:rFonts w:ascii="Arial" w:cs="Arial" w:eastAsia="Arial" w:hAnsi="Arial"/>
                <w:sz w:val="18"/>
                <w:szCs w:val="18"/>
                <w:color w:val="auto"/>
              </w:rPr>
              <w:t>translation</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861</w:t>
            </w:r>
          </w:p>
        </w:tc>
      </w:tr>
      <w:tr>
        <w:trPr>
          <w:trHeight w:val="27"/>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Shares issued</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56,373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repurchase under stock award</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3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program</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310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8,888,028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8,921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13,005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71,453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93,490</w:t>
            </w:r>
          </w:p>
        </w:tc>
      </w:tr>
      <w:tr>
        <w:trPr>
          <w:trHeight w:val="27"/>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3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70"/>
        </w:trPr>
        <w:tc>
          <w:tcPr>
            <w:tcW w:w="3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Change in accounting principle </w:t>
            </w:r>
            <w:r>
              <w:rPr>
                <w:rFonts w:ascii="Arial" w:cs="Arial" w:eastAsia="Arial" w:hAnsi="Arial"/>
                <w:sz w:val="25"/>
                <w:szCs w:val="25"/>
                <w:color w:val="auto"/>
                <w:vertAlign w:val="superscript"/>
              </w:rPr>
              <w:t>(2)</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6,214</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Adjustment for foreign currency</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100" w:type="dxa"/>
            <w:vAlign w:val="bottom"/>
          </w:tcPr>
          <w:p>
            <w:pPr>
              <w:ind w:left="200"/>
              <w:spacing w:after="0"/>
              <w:rPr>
                <w:sz w:val="20"/>
                <w:szCs w:val="20"/>
                <w:color w:val="auto"/>
              </w:rPr>
            </w:pPr>
            <w:r>
              <w:rPr>
                <w:rFonts w:ascii="Arial" w:cs="Arial" w:eastAsia="Arial" w:hAnsi="Arial"/>
                <w:sz w:val="18"/>
                <w:szCs w:val="18"/>
                <w:color w:val="auto"/>
              </w:rPr>
              <w:t>translation</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(2,382)</w:t>
            </w:r>
          </w:p>
        </w:tc>
      </w:tr>
      <w:tr>
        <w:trPr>
          <w:trHeight w:val="27"/>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2,703</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Shares issued</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84,414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repurchase under stock award</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program</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37"/>
        </w:trPr>
        <w:tc>
          <w:tcPr>
            <w:tcW w:w="310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8,955,930</w:t>
            </w:r>
          </w:p>
        </w:tc>
        <w:tc>
          <w:tcPr>
            <w:tcW w:w="120" w:type="dxa"/>
            <w:vAlign w:val="bottom"/>
          </w:tcPr>
          <w:p>
            <w:pPr>
              <w:spacing w:after="0"/>
              <w:rPr>
                <w:sz w:val="20"/>
                <w:szCs w:val="20"/>
                <w:color w:val="auto"/>
              </w:rPr>
            </w:pP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9,006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15,623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77,338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99,173</w:t>
            </w:r>
          </w:p>
        </w:tc>
      </w:tr>
      <w:tr>
        <w:trPr>
          <w:trHeight w:val="27"/>
        </w:trPr>
        <w:tc>
          <w:tcPr>
            <w:tcW w:w="3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adopted the provisions of ASU 2016-09, Compensation - Stock Compensation - Improvements to Employee Share-Based Payment Accounting, on January 1, 2017 using the modified retrospective approach. See Note 1 - Basis of Presentation and Summary of Significant Accounting Policies for further details.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adopted the ASU No. 2014-09, Revenue from Contracts with Customers (ASU 2014-09) on January 1, 2018 using the modified retrospective approach. See Note 1 - Basis of Presentation and Summary of Significant Accounting Policies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81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840" w:type="dxa"/>
            <w:vAlign w:val="bottom"/>
          </w:tcPr>
          <w:p>
            <w:pPr>
              <w:jc w:val="center"/>
              <w:ind w:left="1950"/>
              <w:spacing w:after="0"/>
              <w:rPr>
                <w:sz w:val="20"/>
                <w:szCs w:val="20"/>
                <w:color w:val="auto"/>
              </w:rPr>
            </w:pPr>
            <w:r>
              <w:rPr>
                <w:rFonts w:ascii="Arial" w:cs="Arial" w:eastAsia="Arial" w:hAnsi="Arial"/>
                <w:sz w:val="18"/>
                <w:szCs w:val="18"/>
                <w:b w:val="1"/>
                <w:bCs w:val="1"/>
                <w:color w:val="auto"/>
                <w:w w:val="90"/>
              </w:rPr>
              <w:t>Lawson Products, Inc.</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840" w:type="dxa"/>
            <w:vAlign w:val="bottom"/>
          </w:tcPr>
          <w:p>
            <w:pPr>
              <w:jc w:val="center"/>
              <w:ind w:left="193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840" w:type="dxa"/>
            <w:vAlign w:val="bottom"/>
          </w:tcPr>
          <w:p>
            <w:pPr>
              <w:jc w:val="center"/>
              <w:ind w:left="1930"/>
              <w:spacing w:after="0"/>
              <w:rPr>
                <w:sz w:val="20"/>
                <w:szCs w:val="20"/>
                <w:color w:val="auto"/>
              </w:rPr>
            </w:pPr>
            <w:r>
              <w:rPr>
                <w:rFonts w:ascii="Arial" w:cs="Arial" w:eastAsia="Arial" w:hAnsi="Arial"/>
                <w:sz w:val="18"/>
                <w:szCs w:val="18"/>
                <w:b w:val="1"/>
                <w:bCs w:val="1"/>
                <w:color w:val="auto"/>
                <w:w w:val="89"/>
              </w:rPr>
              <w:t>(Dollars in thousands)</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300" w:type="dxa"/>
            <w:vAlign w:val="bottom"/>
            <w:gridSpan w:val="5"/>
          </w:tcPr>
          <w:p>
            <w:pPr>
              <w:jc w:val="right"/>
              <w:ind w:right="610"/>
              <w:spacing w:after="0"/>
              <w:rPr>
                <w:sz w:val="20"/>
                <w:szCs w:val="20"/>
                <w:color w:val="auto"/>
              </w:rPr>
            </w:pPr>
            <w:r>
              <w:rPr>
                <w:rFonts w:ascii="Arial" w:cs="Arial" w:eastAsia="Arial" w:hAnsi="Arial"/>
                <w:sz w:val="18"/>
                <w:szCs w:val="18"/>
                <w:color w:val="auto"/>
              </w:rPr>
              <w:t>Year Ended December 31,</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6,214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29,688</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68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6,770</w:t>
            </w:r>
          </w:p>
        </w:tc>
      </w:tr>
      <w:tr>
        <w:trPr>
          <w:trHeight w:val="243"/>
        </w:trPr>
        <w:tc>
          <w:tcPr>
            <w:tcW w:w="812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7,508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3,106</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(21,229)</w:t>
            </w:r>
          </w:p>
        </w:tc>
      </w:tr>
      <w:tr>
        <w:trPr>
          <w:trHeight w:val="243"/>
        </w:trPr>
        <w:tc>
          <w:tcPr>
            <w:tcW w:w="8120" w:type="dxa"/>
            <w:vAlign w:val="bottom"/>
            <w:gridSpan w:val="2"/>
          </w:tcPr>
          <w:p>
            <w:pPr>
              <w:ind w:left="420"/>
              <w:spacing w:after="0"/>
              <w:rPr>
                <w:sz w:val="20"/>
                <w:szCs w:val="20"/>
                <w:color w:val="auto"/>
              </w:rPr>
            </w:pPr>
            <w:r>
              <w:rPr>
                <w:rFonts w:ascii="Arial" w:cs="Arial" w:eastAsia="Arial" w:hAnsi="Arial"/>
                <w:sz w:val="18"/>
                <w:szCs w:val="18"/>
                <w:color w:val="auto"/>
              </w:rPr>
              <w:t>Gain on disposal of property and equipment</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(5,422)</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68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Changes in operating assets and liabilities, net of effect of acquired businesses: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(5,275)</w:t>
            </w:r>
          </w:p>
        </w:tc>
      </w:tr>
      <w:tr>
        <w:trPr>
          <w:trHeight w:val="243"/>
        </w:trPr>
        <w:tc>
          <w:tcPr>
            <w:tcW w:w="8120" w:type="dxa"/>
            <w:vAlign w:val="bottom"/>
            <w:gridSpan w:val="2"/>
          </w:tcPr>
          <w:p>
            <w:pPr>
              <w:ind w:left="220"/>
              <w:spacing w:after="0"/>
              <w:rPr>
                <w:sz w:val="20"/>
                <w:szCs w:val="20"/>
                <w:color w:val="auto"/>
              </w:rPr>
            </w:pPr>
            <w:r>
              <w:rPr>
                <w:rFonts w:ascii="Arial" w:cs="Arial" w:eastAsia="Arial" w:hAnsi="Arial"/>
                <w:sz w:val="18"/>
                <w:szCs w:val="18"/>
                <w:color w:val="auto"/>
              </w:rPr>
              <w:t>Inventories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(2,915)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(1,713)</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43"/>
        </w:trPr>
        <w:tc>
          <w:tcPr>
            <w:tcW w:w="8120" w:type="dxa"/>
            <w:vAlign w:val="bottom"/>
            <w:gridSpan w:val="2"/>
          </w:tcPr>
          <w:p>
            <w:pPr>
              <w:ind w:left="220"/>
              <w:spacing w:after="0"/>
              <w:rPr>
                <w:sz w:val="20"/>
                <w:szCs w:val="20"/>
                <w:color w:val="auto"/>
              </w:rPr>
            </w:pPr>
            <w:r>
              <w:rPr>
                <w:rFonts w:ascii="Arial" w:cs="Arial" w:eastAsia="Arial" w:hAnsi="Arial"/>
                <w:sz w:val="18"/>
                <w:szCs w:val="18"/>
                <w:color w:val="auto"/>
              </w:rPr>
              <w:t>Accounts payable and other liabilities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1,980</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r>
      <w:tr>
        <w:trPr>
          <w:trHeight w:val="237"/>
        </w:trPr>
        <w:tc>
          <w:tcPr>
            <w:tcW w:w="8120" w:type="dxa"/>
            <w:vAlign w:val="bottom"/>
            <w:gridSpan w:val="2"/>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20,299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7,204</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280" w:type="dxa"/>
            <w:vAlign w:val="bottom"/>
            <w:shd w:val="clear" w:color="auto" w:fill="CCEEFF"/>
          </w:tcPr>
          <w:p>
            <w:pPr>
              <w:spacing w:after="0"/>
              <w:rPr>
                <w:sz w:val="24"/>
                <w:szCs w:val="24"/>
                <w:color w:val="auto"/>
              </w:rPr>
            </w:pPr>
          </w:p>
        </w:tc>
        <w:tc>
          <w:tcPr>
            <w:tcW w:w="68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Investing activities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r>
      <w:tr>
        <w:trPr>
          <w:trHeight w:val="243"/>
        </w:trPr>
        <w:tc>
          <w:tcPr>
            <w:tcW w:w="8120" w:type="dxa"/>
            <w:vAlign w:val="bottom"/>
            <w:gridSpan w:val="2"/>
          </w:tcPr>
          <w:p>
            <w:pPr>
              <w:ind w:left="220"/>
              <w:spacing w:after="0"/>
              <w:rPr>
                <w:sz w:val="20"/>
                <w:szCs w:val="20"/>
                <w:color w:val="auto"/>
              </w:rPr>
            </w:pPr>
            <w:r>
              <w:rPr>
                <w:rFonts w:ascii="Arial" w:cs="Arial" w:eastAsia="Arial" w:hAnsi="Arial"/>
                <w:sz w:val="18"/>
                <w:szCs w:val="18"/>
                <w:color w:val="auto"/>
              </w:rPr>
              <w:t>Business acquisitions, net of acquired cash</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(5,307)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(32,286)</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sale of property</w:t>
            </w:r>
          </w:p>
        </w:tc>
        <w:tc>
          <w:tcPr>
            <w:tcW w:w="9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6,177</w:t>
            </w:r>
          </w:p>
        </w:tc>
      </w:tr>
      <w:tr>
        <w:trPr>
          <w:trHeight w:val="237"/>
        </w:trPr>
        <w:tc>
          <w:tcPr>
            <w:tcW w:w="8120" w:type="dxa"/>
            <w:vAlign w:val="bottom"/>
            <w:gridSpan w:val="2"/>
          </w:tcPr>
          <w:p>
            <w:pPr>
              <w:ind w:left="42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(7,831)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(27,365)</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280" w:type="dxa"/>
            <w:vAlign w:val="bottom"/>
            <w:shd w:val="clear" w:color="auto" w:fill="CCEEFF"/>
          </w:tcPr>
          <w:p>
            <w:pPr>
              <w:spacing w:after="0"/>
              <w:rPr>
                <w:sz w:val="24"/>
                <w:szCs w:val="24"/>
                <w:color w:val="auto"/>
              </w:rPr>
            </w:pPr>
          </w:p>
        </w:tc>
        <w:tc>
          <w:tcPr>
            <w:tcW w:w="68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Financing activities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proceeds from (payments on) revolving line of credit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(3,720)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13,595</w:t>
            </w:r>
          </w:p>
        </w:tc>
      </w:tr>
      <w:tr>
        <w:trPr>
          <w:trHeight w:val="243"/>
        </w:trPr>
        <w:tc>
          <w:tcPr>
            <w:tcW w:w="8120" w:type="dxa"/>
            <w:vAlign w:val="bottom"/>
            <w:gridSpan w:val="2"/>
          </w:tcPr>
          <w:p>
            <w:pPr>
              <w:ind w:left="220"/>
              <w:spacing w:after="0"/>
              <w:rPr>
                <w:sz w:val="20"/>
                <w:szCs w:val="20"/>
                <w:color w:val="auto"/>
              </w:rPr>
            </w:pPr>
            <w:r>
              <w:rPr>
                <w:rFonts w:ascii="Arial" w:cs="Arial" w:eastAsia="Arial" w:hAnsi="Arial"/>
                <w:sz w:val="18"/>
                <w:szCs w:val="18"/>
                <w:color w:val="auto"/>
              </w:rPr>
              <w:t>Principal on capital leases payments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stock option exercises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8120" w:type="dxa"/>
            <w:vAlign w:val="bottom"/>
            <w:gridSpan w:val="2"/>
          </w:tcPr>
          <w:p>
            <w:pPr>
              <w:ind w:left="220"/>
              <w:spacing w:after="0"/>
              <w:rPr>
                <w:sz w:val="20"/>
                <w:szCs w:val="20"/>
                <w:color w:val="auto"/>
              </w:rPr>
            </w:pPr>
            <w:r>
              <w:rPr>
                <w:rFonts w:ascii="Arial" w:cs="Arial" w:eastAsia="Arial" w:hAnsi="Arial"/>
                <w:sz w:val="18"/>
                <w:szCs w:val="18"/>
                <w:color w:val="auto"/>
              </w:rPr>
              <w:t>Repurchase treasury shares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Business acquisition payment</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7"/>
        </w:trPr>
        <w:tc>
          <w:tcPr>
            <w:tcW w:w="8120" w:type="dxa"/>
            <w:vAlign w:val="bottom"/>
            <w:gridSpan w:val="2"/>
          </w:tcPr>
          <w:p>
            <w:pPr>
              <w:ind w:left="420"/>
              <w:spacing w:after="0"/>
              <w:rPr>
                <w:sz w:val="20"/>
                <w:szCs w:val="20"/>
                <w:color w:val="auto"/>
              </w:rPr>
            </w:pPr>
            <w:r>
              <w:rPr>
                <w:rFonts w:ascii="Arial" w:cs="Arial" w:eastAsia="Arial" w:hAnsi="Arial"/>
                <w:sz w:val="18"/>
                <w:szCs w:val="18"/>
                <w:color w:val="auto"/>
              </w:rPr>
              <w:t>Net cash (used in) provided by financing activities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(4,490)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13,381</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280" w:type="dxa"/>
            <w:vAlign w:val="bottom"/>
            <w:shd w:val="clear" w:color="auto" w:fill="CCEEFF"/>
          </w:tcPr>
          <w:p>
            <w:pPr>
              <w:spacing w:after="0"/>
              <w:rPr>
                <w:sz w:val="24"/>
                <w:szCs w:val="24"/>
                <w:color w:val="auto"/>
              </w:rPr>
            </w:pPr>
          </w:p>
        </w:tc>
        <w:tc>
          <w:tcPr>
            <w:tcW w:w="68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775</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68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Increase (decrease) in cash and cash equivalents and restricted cash</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7,467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(6,005)</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11,221</w:t>
            </w:r>
          </w:p>
        </w:tc>
      </w:tr>
      <w:tr>
        <w:trPr>
          <w:trHeight w:val="257"/>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Cash, cash equivalents and restricted cash at end of year</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12,683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5,216</w:t>
            </w:r>
          </w:p>
        </w:tc>
      </w:tr>
      <w:tr>
        <w:trPr>
          <w:trHeight w:val="20"/>
        </w:trPr>
        <w:tc>
          <w:tcPr>
            <w:tcW w:w="12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16"/>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11,883</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4,416</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r>
      <w:tr>
        <w:trPr>
          <w:trHeight w:val="257"/>
        </w:trPr>
        <w:tc>
          <w:tcPr>
            <w:tcW w:w="8120" w:type="dxa"/>
            <w:vAlign w:val="bottom"/>
            <w:gridSpan w:val="2"/>
          </w:tcPr>
          <w:p>
            <w:pPr>
              <w:ind w:left="220"/>
              <w:spacing w:after="0"/>
              <w:rPr>
                <w:sz w:val="20"/>
                <w:szCs w:val="20"/>
                <w:color w:val="auto"/>
              </w:rPr>
            </w:pPr>
            <w:r>
              <w:rPr>
                <w:rFonts w:ascii="Arial" w:cs="Arial" w:eastAsia="Arial" w:hAnsi="Arial"/>
                <w:sz w:val="18"/>
                <w:szCs w:val="18"/>
                <w:color w:val="auto"/>
              </w:rPr>
              <w:t>Total cash, cash equivalents and restricted cash</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12,683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5,216</w:t>
            </w:r>
          </w:p>
        </w:tc>
      </w:tr>
      <w:tr>
        <w:trPr>
          <w:trHeight w:val="20"/>
        </w:trPr>
        <w:tc>
          <w:tcPr>
            <w:tcW w:w="12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08" w:right="2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Lawson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Lawson Products, Inc. (“Lawson” or the “Company”) is a North American distributor of products and services to the industrial, commercial, institutional and government maintenance, repair and operations (“MRO”) marketplace. The Company has two operating segments. The Lawson operating segment distributes MRO products to customers primarily through a network of sales representatives offering vendor managed inventory ("VMI") service to customers throughout the United States and Canada. In October 2017 the Company acquired The Bolt Supply House, Ltd. ("Bolt"), an MRO distributor located in western Canada. The Bolt operating segment distributes MRO products primarily through its 14 branches located in Western Canada. In October 2018, the Company acquired Screw Products, Inc., a regional distributor of bulk industrial products to manufacturers and job shops.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jc w:val="both"/>
        <w:ind w:firstLine="338"/>
        <w:spacing w:after="0" w:line="279" w:lineRule="auto"/>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The accompanying consolidated financial statements have been prepared in accordance with accounting principles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accepted in the United States and include the accounts and transactions of the Company and its wholly-owned subsidiaries. All significant intercompany transactions and balances have been eliminated in consolidation. Certain reclassifications have been made to prior period amounts to conform to the current period presentation. Such reclassifications have no effect on net income as previously reported.</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two revenue streams: revenues from the sale of product and revenues from the performance of VMI</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The Company offers VMI services only in conjunction with product sales. The Company does not bill product sales and services separately. The total revenue billed is allocated between revenue from product sales and revenue from services for reporting purposes based upon the estimated market value of such services. A portion of selling expenses is allocated to cost of sales for reporting purposes based upon the estimated time spent on such services. Product revenue includes product sales and billings for freight and handling charges. Sales and associated cost of goods sold are generally recognized when products are shipped and title passes to customers. We accrue for returns based on historical evidence of return rates. Service revenue and associated cost of sales are recognized when services are performed. A portion of service revenue and cost of service is deferred, as not all services are performed in the same period as billed.</w:t>
      </w:r>
    </w:p>
    <w:p>
      <w:pPr>
        <w:spacing w:after="0" w:line="192"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 liquid investments with a maturity of three months or less when purchased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The carrying amount of the Company’s cash equivalents at December 31, 2018 approximates fair value.</w:t>
      </w:r>
    </w:p>
    <w:p>
      <w:pPr>
        <w:spacing w:after="0" w:line="170"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 The Company evaluates the collectability of accounts receivable based on a combination of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where the Company is aware of a specific customer’s inability to meet its financial obligations (e.g., bankruptcy filings, substantial down-grading of credit ratings), a specific reserve for bad debts is recorded against amounts due to reduce the receivable to the amount the Company reasonably believes will be collected. For all other customers, the Company recognizes reserves for bad debts based on the Company’s historical experience of bad debt write-offs as a percent of accounts receivable outstanding. If circumstances change (e.g., higher than expected defaults or an unexpected material adverse change in a major customer’s ability to meet its financial obligations), the estimates of the recoverability of amounts due the Company could be revised by a material amount.</w:t>
      </w:r>
    </w:p>
    <w:p>
      <w:pPr>
        <w:spacing w:after="0" w:line="18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principally consist of finished goods stated at the lower of cost or net realizable value using the first-in-first-out method. To</w:t>
      </w:r>
      <w:r>
        <w:rPr>
          <w:rFonts w:ascii="Arial" w:cs="Arial" w:eastAsia="Arial" w:hAnsi="Arial"/>
          <w:sz w:val="17"/>
          <w:szCs w:val="17"/>
          <w:i w:val="1"/>
          <w:iCs w:val="1"/>
          <w:color w:val="auto"/>
        </w:rPr>
        <w:t xml:space="preserve"> </w:t>
      </w:r>
      <w:r>
        <w:rPr>
          <w:rFonts w:ascii="Arial" w:cs="Arial" w:eastAsia="Arial" w:hAnsi="Arial"/>
          <w:sz w:val="17"/>
          <w:szCs w:val="17"/>
          <w:color w:val="auto"/>
        </w:rPr>
        <w:t>reduce the cost basis of inventory to a lower of cost or net realizable value, a reserve is recorded for slow-moving and obsolete inventory based on historical experience and monitoring of current inventory activity. Estimates are used to determine the necessity of recording these reserves based on periodic detailed analysis using both qualitative and quantitative factors. As part of this analysis, the Company considers several factors including the inventories length of time on hand, historical sales, product shelf life, product life cycle, product category and product obsolescence.</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 Property, plant and equipment are stated at cost less accumulated depreciation and amortization. Depreciation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is computed primarily by the straight-line method for its buildings, machinery and equipment, furniture and fixtures and vehicles. The Company estimates useful lives of 20 to 40 years for buildings and improvements and 3 to 10 years for machinery and equipment, furniture and fixtures and vehicles. Amortization of financing and capital leases is included in depreciation expense.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Depreciation expense was $4.8 million and $4.7 million for 2018 and 2017 respectively. Capitalized software is amortized over estimated useful lives of 3 to 5 years using the straight-line method. Amortization expense of capitalized software was $1.1 million and $1.6 million for 2018 and 2017 respectively.</w:t>
      </w:r>
    </w:p>
    <w:p>
      <w:pPr>
        <w:spacing w:after="0" w:line="124"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i w:val="1"/>
          <w:iCs w:val="1"/>
          <w:color w:val="auto"/>
        </w:rPr>
        <w:t xml:space="preserve">Cash Value of Life Insurance </w:t>
      </w:r>
      <w:r>
        <w:rPr>
          <w:rFonts w:ascii="Arial" w:cs="Arial" w:eastAsia="Arial" w:hAnsi="Arial"/>
          <w:sz w:val="18"/>
          <w:szCs w:val="18"/>
          <w:color w:val="auto"/>
        </w:rPr>
        <w:t>— The Company has invested funds in life insurance policies on certain current and former employees. The cash surrender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policies is invested in various investment instruments and is recorded as an asset on our consolidated balance sheet. The Company records these funds at contractual value. The change in the cash surrender value of the life insurance policies, which is recorded as a component of General and administrative expenses, is the change in the policies' contractual values.</w:t>
      </w:r>
    </w:p>
    <w:p>
      <w:pPr>
        <w:spacing w:after="0" w:line="187" w:lineRule="exact"/>
        <w:rPr>
          <w:sz w:val="20"/>
          <w:szCs w:val="20"/>
          <w:color w:val="auto"/>
        </w:rPr>
      </w:pPr>
    </w:p>
    <w:p>
      <w:pPr>
        <w:jc w:val="both"/>
        <w:ind w:firstLine="338"/>
        <w:spacing w:after="0" w:line="273" w:lineRule="auto"/>
        <w:rPr>
          <w:sz w:val="20"/>
          <w:szCs w:val="20"/>
          <w:color w:val="auto"/>
        </w:rPr>
      </w:pPr>
      <w:r>
        <w:rPr>
          <w:rFonts w:ascii="Arial" w:cs="Arial" w:eastAsia="Arial" w:hAnsi="Arial"/>
          <w:sz w:val="17"/>
          <w:szCs w:val="17"/>
          <w:i w:val="1"/>
          <w:iCs w:val="1"/>
          <w:color w:val="auto"/>
        </w:rPr>
        <w:t xml:space="preserve">Deferred Compensation </w:t>
      </w:r>
      <w:r>
        <w:rPr>
          <w:rFonts w:ascii="Arial" w:cs="Arial" w:eastAsia="Arial" w:hAnsi="Arial"/>
          <w:sz w:val="17"/>
          <w:szCs w:val="17"/>
          <w:color w:val="auto"/>
        </w:rPr>
        <w:t>— The Company’s Executive Deferral Plan (“Deferral Plan”) allows certain executives to defer payment of a portion of their</w:t>
      </w:r>
      <w:r>
        <w:rPr>
          <w:rFonts w:ascii="Arial" w:cs="Arial" w:eastAsia="Arial" w:hAnsi="Arial"/>
          <w:sz w:val="17"/>
          <w:szCs w:val="17"/>
          <w:i w:val="1"/>
          <w:iCs w:val="1"/>
          <w:color w:val="auto"/>
        </w:rPr>
        <w:t xml:space="preserve"> </w:t>
      </w:r>
      <w:r>
        <w:rPr>
          <w:rFonts w:ascii="Arial" w:cs="Arial" w:eastAsia="Arial" w:hAnsi="Arial"/>
          <w:sz w:val="17"/>
          <w:szCs w:val="17"/>
          <w:color w:val="auto"/>
        </w:rPr>
        <w:t>earned compensation. The deferred compensation is recorded in an Account Balance, which is a bookkeeping entry made by the Company to measure the amount due to the participant. The Account Balance is equal to the participant’s deferred compensation, adjusted for increases and/or decreases in the amount that the participant has designated to one or more bookkeeping portfolios that track the performance of certain mutual funds. Lawson adjusts the deferred compensation liability to equal the contractual value of the participants’ Account Balances. These adjustments are the changes in contractual value of the individual plans and are recorded as a component of General and administrative expenses.</w:t>
      </w:r>
    </w:p>
    <w:p>
      <w:pPr>
        <w:spacing w:after="0" w:line="178"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Compensation based on the share value of the Company’s common stock is valued at its fair value at the grant date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expense is recognized over the vesting period. Fair value is re-measured each reporting period for liability-classified awards that may be redeemable in cash. We account for forfeitures of stock-based compensation in the period which they occur.</w:t>
      </w:r>
    </w:p>
    <w:p>
      <w:pPr>
        <w:spacing w:after="0" w:line="18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 The Company had $20.1 million and $19.6 million of goodwill in 2018 and 2017, respectively. Goodwill represents the cost of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in excess of the fair value of identifiable net tangible and intangible assets acquired. Goodwill is allocated to the appropriate reporting unit, which are the same as the operating segments as reviewed by the Company’s chief operating decision maker responsible for reviewing operating performance and allocating resources. The Company reviews goodwill for potential impairment annually on December 1</w:t>
      </w:r>
      <w:r>
        <w:rPr>
          <w:rFonts w:ascii="Arial" w:cs="Arial" w:eastAsia="Arial" w:hAnsi="Arial"/>
          <w:sz w:val="24"/>
          <w:szCs w:val="24"/>
          <w:color w:val="auto"/>
          <w:vertAlign w:val="superscript"/>
        </w:rPr>
        <w:t>st</w:t>
      </w:r>
      <w:r>
        <w:rPr>
          <w:rFonts w:ascii="Arial" w:cs="Arial" w:eastAsia="Arial" w:hAnsi="Arial"/>
          <w:sz w:val="17"/>
          <w:szCs w:val="17"/>
          <w:color w:val="auto"/>
        </w:rPr>
        <w:t>, or when an event or other circumstances change that would more likely than not reduce the fair value of the asset below its carrying value.</w:t>
      </w:r>
    </w:p>
    <w:p>
      <w:pPr>
        <w:spacing w:after="0" w:line="19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first step in the multi-step process to determine if goodwill has been impaired and to what degree is to review the relevant qualitative factors that could cause the fair value of the reporting unit to decrease below the carrying value of the reporting unit. After reviewing the qualitative factors relevant to the reporting units, including conditions surrounding the industry we operate in compared to when the acquisitions were completed, the financial performance of the reporting units compared to our projected results, and macroeconomic conditions as a whole, we have determined that it is more likely than not that the fair value of the reporting units exceed their carrying value, therefore goodwill has not been impaired and no further steps need to be taken.</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Intangible Assets — </w:t>
      </w:r>
      <w:r>
        <w:rPr>
          <w:rFonts w:ascii="Arial" w:cs="Arial" w:eastAsia="Arial" w:hAnsi="Arial"/>
          <w:sz w:val="18"/>
          <w:szCs w:val="18"/>
          <w:color w:val="auto"/>
        </w:rPr>
        <w:t>The Company's intangible assets consists of trade names, and customer relationships. Intangible assets are amortized over weighted</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15 and 11 year estimated useful lives for trade names and customer relationships, respectively.</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Impairment of Long-Lived Assets — </w:t>
      </w:r>
      <w:r>
        <w:rPr>
          <w:rFonts w:ascii="Arial" w:cs="Arial" w:eastAsia="Arial" w:hAnsi="Arial"/>
          <w:sz w:val="17"/>
          <w:szCs w:val="17"/>
          <w:color w:val="auto"/>
        </w:rPr>
        <w:t>The Company reviews its long-lived assets, including property, plant and equipment and definite life intangibles, for</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whenever events or changes in circumstances indicate that the carrying amounts of these assets may not be recoverable. Recoverability is measured by a comparison of the assets' carrying amount to their expected future undiscounted net cash flows. If such assets are considered to be impaired, the impairment to be recognized is measured based on the amount by which the carrying amount of the asset exceeds its fair value. In 2018 the Company determined that a triggering event had occurred when it determined that it would most likely exercise its put option on a building of a previously discontinued operation in Decatur, Alabama. Accordingly, the Company recorded an impairment charge of $0.2 million in 2018 based upon the anticipated proceeds less its carrying value. No additional triggering events or impairments occurred in 2018.</w:t>
      </w:r>
    </w:p>
    <w:p>
      <w:pPr>
        <w:spacing w:after="0" w:line="178"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Deferred tax assets or liabilities reflect temporary differences between amounts of assets and liabilities for financial and tax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Such amounts are adjusted, as appropriate, to reflect changes in enacted tax rates expected to be in effect when the temporary differences reverse. A valuation allowance is established to offset any deferred tax assets if, based upon the available evidence, it is more likely than not (i.e. greater than 50% likely) that some or all of the deferred tax assets will not be realized. The determination of the amount of a valuation allowance to be provided on recorded deferred tax assets involves estimates regarding (1) the timing and amount of the reversal of taxable temporary differences, (2) expected future taxable income, (3) the impact of tax planning strategies and (4) the ability to carry back deferred tax assets to offset prior taxable income. In assessing the need for a valuation allowance, we consider all available positive and negative evidence, including past operating results, projections of future taxable income and the feasibility of ongoing tax planning strategies. The projections of future taxable income include a number of estimates and assumptions regarding our volume, pricing and costs. Additionally, valuation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allowances related to deferred tax assets can be impacted by changes to tax laws. Significant judgment is required in determining income tax provisions as well as deferred tax asset and liability balances, including the estimation of valuation allowances and the evaluation of tax positions.</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2012, due to historical cumulative losses, we had determined it was more likely than not that we would not be able to utilize our deferred tax assets to offset future taxable income. Therefore, substantially all of our deferred tax assets were subject to a tax valuation allowance.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2017 we had continued to generate pre-tax profits and had utilized some of our net operating loss carryforwards over the previous two years and were in a three year cumulative income position in the U.S. Based on available evidence, including the utilization of $13.0 million of net operating loss carryforwards in 2017, we reached a point of increased confidence in our ability to sustain profit levels and we believed it was more likely than not that we would be able to utilize a substantial amount of our deferred tax assets to offset future taxable income. Therefore, a large portion of our U.S. valuation allowances were released in 2017.</w:t>
      </w:r>
    </w:p>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Earnings from the Company's foreign subsidiaries are considered to be indefinitely reinvested. A distribution of these non-U.S. earnings in the form of dividends or otherwise would subject the Company to foreign withholding taxes and may subject the Company to U.S. federal and state taxes.</w:t>
      </w:r>
    </w:p>
    <w:p>
      <w:pPr>
        <w:spacing w:after="0" w:line="147" w:lineRule="exact"/>
        <w:rPr>
          <w:sz w:val="20"/>
          <w:szCs w:val="20"/>
          <w:color w:val="auto"/>
        </w:rPr>
      </w:pPr>
    </w:p>
    <w:p>
      <w:pPr>
        <w:jc w:val="both"/>
        <w:ind w:firstLine="338"/>
        <w:spacing w:after="0" w:line="312" w:lineRule="auto"/>
        <w:rPr>
          <w:sz w:val="20"/>
          <w:szCs w:val="20"/>
          <w:color w:val="auto"/>
        </w:rPr>
      </w:pPr>
      <w:r>
        <w:rPr>
          <w:rFonts w:ascii="Arial" w:cs="Arial" w:eastAsia="Arial" w:hAnsi="Arial"/>
          <w:sz w:val="16"/>
          <w:szCs w:val="16"/>
          <w:color w:val="auto"/>
        </w:rPr>
        <w:t>The Company recognizes the benefit of tax positions when a benefit is more likely than not (i.e., greater than 50% likely) to be sustained on its technical merits. Recognized tax benefits are measured at the largest amount that is more likely than not to be sustained, based on cumulative probability, in final settlement of the position. The Company recognizes interest and penalties related to unrecognized tax benefits as a component of income tax expense.</w:t>
      </w:r>
    </w:p>
    <w:p>
      <w:pPr>
        <w:spacing w:after="0" w:line="147" w:lineRule="exact"/>
        <w:rPr>
          <w:sz w:val="20"/>
          <w:szCs w:val="20"/>
          <w:color w:val="auto"/>
        </w:rPr>
      </w:pPr>
    </w:p>
    <w:p>
      <w:pPr>
        <w:jc w:val="both"/>
        <w:ind w:firstLine="338"/>
        <w:spacing w:after="0" w:line="302"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 Leases are categorized as either operating or capital leases at inception. Operating lease costs are recognized on a straight-line basis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 of the lease. An asset and a corresponding liability for the capital lease obligation are established for the cost of capital leases. The capital lease obligation is amortized over the shorter of the estimated useful life of the asset or the lease term. The Company purchased $0.2 million and $0.3 million of assets financed by capital leases in 2018 and 2017 respectively, in non-cash transactions that were not reflected in the Consolidated Statements of Cash Flows.</w:t>
      </w:r>
    </w:p>
    <w:p>
      <w:pPr>
        <w:spacing w:after="0" w:line="154"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For build-to-suit financing leases, the Company establishes an asset and liability for the estimated construction costs incurred to the extent that it is involved in the construction of structural improvements or takes construction risk prior to the commencement of the lease. Upon occupancy of facilities under build-to-suit leases, the Company assesses whether these arrangements qualify for sales recognition under the sale-leaseback accounting guidance. If a lease does not meet the criteria to qualify for a sale-leaseback transaction, the established asset and liability remain on the Company's consolidated balance sheet. This asset is depreciated over the life of the lease and the liability is reduced by the non-interest portion of the lease payments for costs allocated to the building and on a straight line basis for costs allocated to land.</w:t>
      </w:r>
    </w:p>
    <w:p>
      <w:pPr>
        <w:spacing w:after="0" w:line="193" w:lineRule="exact"/>
        <w:rPr>
          <w:sz w:val="20"/>
          <w:szCs w:val="20"/>
          <w:color w:val="auto"/>
        </w:rPr>
      </w:pPr>
    </w:p>
    <w:p>
      <w:pPr>
        <w:jc w:val="both"/>
        <w:ind w:firstLine="338"/>
        <w:spacing w:after="0" w:line="257" w:lineRule="auto"/>
        <w:rPr>
          <w:sz w:val="20"/>
          <w:szCs w:val="20"/>
          <w:color w:val="auto"/>
        </w:rPr>
      </w:pPr>
      <w:r>
        <w:rPr>
          <w:rFonts w:ascii="Arial" w:cs="Arial" w:eastAsia="Arial" w:hAnsi="Arial"/>
          <w:sz w:val="18"/>
          <w:szCs w:val="18"/>
          <w:i w:val="1"/>
          <w:iCs w:val="1"/>
          <w:color w:val="auto"/>
        </w:rPr>
        <w:t xml:space="preserve">Sub-leases </w:t>
      </w:r>
      <w:r>
        <w:rPr>
          <w:rFonts w:ascii="Arial" w:cs="Arial" w:eastAsia="Arial" w:hAnsi="Arial"/>
          <w:sz w:val="18"/>
          <w:szCs w:val="18"/>
          <w:color w:val="auto"/>
        </w:rPr>
        <w:t>— If the Company is relieved of its primary obligation under the original lease then the original lease is considered to be terminated,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if the Company retains primary obligation under the original lease then the Company continues to account for the original lease and also accounts for the new sub-lease as lessor. At the time the sub-lease is executed, the Company records a gain or loss equal to the difference between the total cash payments to be made for gross rent under the original lease agreement over the life of the sub-lease plus executory costs and total gross rent proceeds expected to be received over the life of the sub-lease.</w:t>
      </w:r>
    </w:p>
    <w:p>
      <w:pPr>
        <w:spacing w:after="0" w:line="188" w:lineRule="exact"/>
        <w:rPr>
          <w:sz w:val="20"/>
          <w:szCs w:val="20"/>
          <w:color w:val="auto"/>
        </w:rPr>
      </w:pPr>
    </w:p>
    <w:p>
      <w:pPr>
        <w:jc w:val="both"/>
        <w:ind w:firstLine="338"/>
        <w:spacing w:after="0" w:line="257"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Basic earnings per share is computed by dividing net income by the weighted average number of common shares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period. Diluted earnings per share reflect the potential dilution from the exercise or conversion of outstanding stock options, market stock units and restricted stock awards into common stock. For the years ended December 31, 2018 and 2017 stock options to purchase 46,067 and 80,000, respectively of the Company's common stock were excluded from the computation of diluted earnings per share because the options’ exercise price was greater than the average market price of the common stock.</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Foreign Currency </w:t>
      </w:r>
      <w:r>
        <w:rPr>
          <w:rFonts w:ascii="Arial" w:cs="Arial" w:eastAsia="Arial" w:hAnsi="Arial"/>
          <w:sz w:val="18"/>
          <w:szCs w:val="18"/>
          <w:color w:val="auto"/>
        </w:rPr>
        <w:t>— The accounts of foreign subsidiaries are measured using the local currency as the functional currency. All balance sheet amounts are</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translated into U.S. dollars using the exchange rates in effect at the applicable period end. Components of income or loss are translated using the average exchange rate for each reporting period.</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Gains and losses resulting from changes in the exchange rates from translation of the subsidiary accounts in local currency to U.S. dollars are reported as a component of Accumulated other comprehensive income or loss in the consolidated balance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sheets. Gains and losses resulting from the effect of exchange rate changes on transactions denominated in currencies other than the functional currency are included as a component of net income or loss upon settlement of the transaction.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Gains and losses resulting from intercompany transactions are included as a component of net income or loss each reporting period unless the transactions are of a long-term-investment nature and settlement is not planned or anticipated in the foreseeable future, in which case the gains and losses are recorded as a component of accumulated other comprehensive income or loss in the consolidated balance sheets.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Treasury Stock </w:t>
      </w:r>
      <w:r>
        <w:rPr>
          <w:rFonts w:ascii="Arial" w:cs="Arial" w:eastAsia="Arial" w:hAnsi="Arial"/>
          <w:sz w:val="18"/>
          <w:szCs w:val="18"/>
          <w:color w:val="auto"/>
        </w:rPr>
        <w:t>—The Company repurchased 16,512 and 968 shares of its common stock in 2018 and 2017, respectively, from employees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of restricted stock to offset the income taxes owed by those employees. The Company accounts for treasury stock using the cost method and includes treasury stock as a component of stockholders’ equity. The value of the treasury stock repurchased was $523 thousand and $20 thousand in 2018 and 2017, respectively.</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 The Company recognizes identifiable assets acquired and liabilities assumed at their acquisition date fair values. Goodwill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date is measured as the excess of consideration transferred over the net of the acquisition date fair values of the assets acquired and the liabilities assumed. While the Company uses its best estimates and assumptions for the purchase price allocation process to value assets acquired and liabilities assumed at the acquisition date, the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w:t>
      </w:r>
    </w:p>
    <w:p>
      <w:pPr>
        <w:spacing w:after="0" w:line="158"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Preparation of financial statements in conformity with accounting principles generally accepted in the United States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amounts reported for service revenue, service cost, allowance for doubtful accounts, inventory reserves, goodwill and intangible assets valuation, and income taxes in the consolidated financial statements and accompanying notes. Actual results could differ from these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2016-09, Improvements to Employee Share-Based Payment Accounting</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Effective January 1, 2017, the Company adopted Accounting Standards Update 2016-09, “Compensation-Stock Compensation (Topic 718)” (“ASU 2016-09”). Prior to January 1, 2017, the Company recognized excess tax benefits or deficiencies of stock-based compensation expense, to the extent that there were sufficient recognized excess tax benefits previously recognized, as a component of additional paid-in capital. ASU 2016-09 requires the Company to account for excess tax benefits and tax deficiencies as discrete items in the reporting period in which they occur. The adoption was applied on a modified retrospective basis. Deferred tax assets related to stock-based compensation were fully reserved and, therefore, there was no net effect on the Company's beginning balance sheet for 2017 and a $0.2 million benefit to the Company's results of operations.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of including the income tax effects from excess tax benefits in income tax expense, the effects of the excess tax benefits are no longer included in the calculation of diluted shares outstanding, resulting in an increase in the number of diluted shares outstanding. The Company adopted this change in the method of calculating diluted shares outstanding on a prospective basis.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ASU 2016-09 also permits entities to make an accounting policy election related to how forfeitures will impact the recognition of compensation cost for stock-based compensation to either estimate the total number of awards for which the requisite service period will not be rendered, as currently required, or to account for forfeitures as they occur. Upon adoption of ASU 2016-09, the Company elected to change its accounting policy to account for forfeitures as they occur. The change was applied on a modified retrospective basis with a cumulative effect adjustment to reduce retained earnings by $178 thousand, as of January 1, 2017.</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Additionally, ASU 2016-09 addressed the presentation of employee taxes paid on the statement of cash flows. The Company is now required to present the cost of shares withheld from the employee to satisfy the employees’ income tax liability as a financing activity on the statement of cash flows rather than as an operating cash flow. The Company adopted this change retrospectively.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which is intended to help companies evaluate whether transactions should be accounted for as acquisitions (or disposals) of assets or businesses by providing a more robust framework to use in determining when a set of assets and activities is a business. This ASU became effective commencing with our quarter ending March 31, 2018 and did not have a material impact on our consolidated financial statements.</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January 2017, the FASB issued ASU 2017-04, Simplifying the Test for Goodwill Impairment. This standard eliminates a step from the goodwill impairment test and instead requires an entity to recognize a goodwill impairment charge for the amount by which the goodwill carrying amount exceeds the reporting unit’s fair value. This guidance is effective for interim and annual goodwill impairment tests in fiscal years beginning after December 15, 2019, and early adoption is permitted. This guidance must be applied on a prospective basis. We adopted this guidance on January 1, 2017. The adoption of this guidance had no material impact on our financial position, results of operations or cash flows.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November 2016, the FASB issued ASU 2016-18, Restricted Cash, which requires amounts generally described as restricted cash and restricted cash equivalents be included with cash and cash equivalents when reconciling the total beginning and ending amounts for the periods shown on the statement of cash flows. ASU 2016-18 is effective for fiscal years beginning after December 15, 2017 (including interim periods within those periods) using a retrospective transition method to each period presented. The Company adopted ASU 2016-18 on January 1, 2018 and it had no material impact on the consolidated financial statements.</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November, 2015, the FASB issued ASU No. 2015-17, Balance Sheet Classification of Deferred Taxes. This update simplifies the presentation of deferred income taxes by requiring all entities that present a classified balance sheet to classify all deferred tax assets and liabilities as a noncurrent amount. The objective of this ASU is to reduce the cost and complexity of recording deferred taxes without affecting the usefulness of financial statement information. The pronouncement is effective for public entities in fiscal years beginning after December 15, 2016, including interim periods within those fiscal years and the guidance may be applied on either a prospective or retrospective basis. The Company adopted ASU 2015-07 on a prospective basis in 2017.</w:t>
      </w:r>
    </w:p>
    <w:p>
      <w:pPr>
        <w:spacing w:after="0" w:line="15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July 2015, the FASB issued ASU No. 2015-11, Simplifying the Measurement of Inventory, which requires an entity to measure inventory at the lower of cost or net realizable value, which consists of the estimated selling prices in the ordinary course of business, less reasonably predictable cost of completion, disposal, and transportation. This pronouncement is effective for annual reporting periods beginning after December 15, 2016, including interim periods within those fiscal years. The guidance is to be applied prospectively with earlier application permitted as of the beginning of an interim or annual reporting period. The Company adopted ASU 2015-11 on January 1, 2017 and it had no material impact on its financial position, results of operations or cash flows.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2016, the FASB issued ASU No. 2016-13, Financial Instruments - Credit Losses, which revises the requirements for how an entity should measure credit losses on financial instruments. The pronouncement is effective for public entities in fiscal years beginning after December 15, 2019, including interim periods within those fiscal years, and the new guidance will be applied on a prospective basis. The Company does not believe the adoption of the new standard will have a material impact on its financial statements.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May 2014, the FASB issued ASU No. 2014-09, Revenue from Contracts with Customers (ASU 2014-09), which supersedes nearly all existing revenue recognition guidance under U.S. GAAP. The core principle of ASU 2014-09 is to recognize revenues when promised goods or services are transferred to customers in an amount that reflects the consideration to which an entity expects to be entitled for those goods or services.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adopted ASU 2014-09 on January 1, 2018 using the modified retrospective method. Under this method, a cumulative effect adjustment was recorded based on applying the guidance to the customer contracts that were not completed at the date of initial application. As a result, prior periods were not adjusted to reflect application of the new guidance.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Upon the adoption of ASU 2014-09, the Company identified its performance obligations as product sales and performance of VMI services. The Company recognizes revenue generated from the sale of its products when control of the product transfers from the Company to the customer. The Company recognizes revenue generated by the performance of VMI services when these services are performed.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Although the Company does not offer VMI services separately from the sale of its products and does not bill VMI services separately, the Company allocates the total revenue between these performance obligations in its financial statements. A portion of total revenue is allocated to service revenue based on the estimated time Lawson MRO sales reps spend providing services to customers utilizing an estimated market rate for the VMI services provided. The Company also breaks out the costs associated with VMI services as a component of total costs of goods sold in its financial statements. The cost of sales associated with VMI services is calculated based upon estimated time spent on these services applied against direct selling expenses.</w:t>
      </w:r>
    </w:p>
    <w:p>
      <w:pPr>
        <w:spacing w:after="0" w:line="15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Some VMI services are performed after control of the product has transferred to the customer, which can result in the deferral of a small amount of service revenue and associated cost of sales and selling expenses to the subsequent period. The Company recognized a small amount of deferred revenue and deferred expenses upon transition to ASU 2014-09, with the net effect recognized as an adjustment to beginning retained earnings. The deferred revenue and deferred expenses are remeasured on a quarterly basis with the net effect recognized as a change to the operating results. See Note 3 - Revenue Recognition.</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February 2016, the FASB issued ASU 2016-02, Leases (“ASU 2016-02”) in order to increase transparency and comparability among organizations by recognizing lease assets and lease liabilities on the balance sheet for those leases classified as operating leases under previous GAAP. Subsequently, the FASB has issued additional ASUs which further clarify this guidance.</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Under the new guidance, at the lease commencement date, a lessee recognizes a right-of-use (“ROU”) asset representing its right to use the underlying asset and a lease liability which is initially measured at the estimated present value of the future lease payments. These amounts represent the estimated economic benefit the Company will receive over the term of the lease. For results of operations purposes, leases are classified as either operating or finance leases. For operating leases, lease expense is recognized on a straight line basis. For finance leases, the lease liability and interest on the lease liability is recognized using the Company's borrowing rate. The amortization of the ROU asset is recognized over the useful life of the asset.</w:t>
      </w:r>
    </w:p>
    <w:p>
      <w:pPr>
        <w:spacing w:after="0" w:line="1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will adopt ASU 2016-02 on January 1, 2019 using the modified retrospective method. The Company anticipates that it will elect a package of practical expedients, which includes the decision to not reassess certain direct costs for existing leases at the date of implementation. These direct costs include certain items such as commissions, legal and documentation preparation fees and payments to incentivize existing tenants to terminate its lease. These direct costs will be capitalized for new leases entered into after January 1, 2019. The Company anticipates that, as a practical expedient, it will not separate lease components from non-lease components for certain types of leases.</w:t>
      </w:r>
    </w:p>
    <w:p>
      <w:pPr>
        <w:spacing w:after="0" w:line="173" w:lineRule="exact"/>
        <w:rPr>
          <w:sz w:val="20"/>
          <w:szCs w:val="20"/>
          <w:color w:val="auto"/>
        </w:rPr>
      </w:pPr>
    </w:p>
    <w:p>
      <w:pPr>
        <w:jc w:val="both"/>
        <w:ind w:firstLine="324"/>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effect on the Company’s results of operations in subsequent periods is not expected to be significant. The impact of ASU 2016-02 will be non-cash in nature and will not affect the Company’s cash flows. Also, additional quantitative and qualitative presentations and disclosures related to the Company’s leases will be provided upon adoption of the standard. Upon transition to ASU 2016-02, the Company will derecognize and reassess the financing lease for the building associated with the McCook distribution facility. The land associated with the McCook distribution facility, which was previously classified as an </w:t>
      </w:r>
      <w:hyperlink w:anchor="page38">
        <w:r>
          <w:rPr>
            <w:rFonts w:ascii="Arial" w:cs="Arial" w:eastAsia="Arial" w:hAnsi="Arial"/>
            <w:sz w:val="18"/>
            <w:szCs w:val="18"/>
            <w:color w:val="auto"/>
          </w:rPr>
          <w:t>operating lease, will be classified as a financing lease. We do not expect the adoption to affect the borrowing agreements of the Company. See Note 4 -</w:t>
        </w:r>
      </w:hyperlink>
      <w:r>
        <w:rPr>
          <w:rFonts w:ascii="Arial" w:cs="Arial" w:eastAsia="Arial" w:hAnsi="Arial"/>
          <w:sz w:val="18"/>
          <w:szCs w:val="18"/>
          <w:color w:val="auto"/>
        </w:rPr>
        <w:t xml:space="preserve"> </w:t>
      </w:r>
      <w:hyperlink w:anchor="page38">
        <w:r>
          <w:rPr>
            <w:rFonts w:ascii="Arial" w:cs="Arial" w:eastAsia="Arial" w:hAnsi="Arial"/>
            <w:sz w:val="18"/>
            <w:szCs w:val="18"/>
            <w:color w:val="auto"/>
          </w:rPr>
          <w:t>Leases.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ASC 606</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1, 2018 the Company adopted Accounting Standards Codification 606-Revenue From Contracts With Customers (“ASC 606”). As part of the Company's adoption of ASC 606, it concluded that it has two separate performance obligations, and accordingly, two separate revenue streams: products and services. As a result, the Company is now reporting two separate revenue streams and two separate costs of revenues. The adoption of ASC 606 had a minimal impact on total reported revenues, costs and net income for 2018. However, the adoption required prospective reclassification of certain selling expenses associated with the separately identified vendor managed inventory services performance obligation costs historically classified as selling expenses to cost of sales. As ASC 606 was adopted on a modified retrospective method, prior years are not restated. Effective January 1, 2018, the Company recorded a cumulative effect adjustment in opening retained earnings in the amount of $0.3 million based on applying the guidance to the customer contracts that were not completed on that date.</w:t>
      </w:r>
    </w:p>
    <w:p>
      <w:pPr>
        <w:spacing w:after="0" w:line="19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ASC 606 defines a five step process to recognize revenues at the time and in an amount that reflects the consideration expected to be received for the performance obligations that have been provided. ASC 606 defines contracts as written, oral and through customary business practice. Under this definition, the Company considers contracts to be created at the time an order to purchase product is agreed upon regardless of whether or not there is a written contract.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Lawson has two operating segments; the Lawson segment and the Bolt Supply segment. Customer contracts have the following performance obligations:</w:t>
      </w:r>
    </w:p>
    <w:p>
      <w:pPr>
        <w:spacing w:after="0" w:line="24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Lawson segment has two distinct performance obligations offered to its customers: a product performance obligation and a service performance obligation. Although the Company has identified that it offers its customers both a product and a service obligation, the customer only receives one invoice per transaction with no price breakout between these obligations. The Company does not price its offerings based on any breakout between these obligations.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Lawson generates revenue primarily from the sale of MRO products to its customers. Revenue related to product sales is recognized at the time that control of the product has been transferred to the customer; either at the time the product is shipped or the time the product has been received by the customer. The Company does not commit to long-term contracts to sell customers a certain minimum quantity of products.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Lawson segment offers a VMI service proposition to its customers. A portion of these services, primarily related to stocking of product and maintenance of the MRO inventory, is provided a short period of time after control of the purchased product has been transferred to the customer. Since some components of VMI service have not been provided at the time the control of the product transfers to the customer, that portion of expected consideration is deferred until the time that those services have been provided.</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Bolt Supply segment does not provide VMI services for its customers or provide services in addition to product sales to customers. Revenue is recognized at the time that control of the product has been transferred to the customer which is either upon delivery or shipment depending on the terms of the contract.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Policy Elections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has elected to treat shipping and handling costs after the control of the product has been transferred to the customer as a fulfillment cost.</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taxes that are imposed on our sales and collected from customers are excluded from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expenses sales commissions when incurred as the amortization period is one year or less.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employs certain significant judgments to estimate the dollar amount of revenue, and related expenses, allocated to the sale of product and service. These judgments include, among others, the percentage of customers that take advantage of the VMI services offered, the amount of revenue to be allocated to the VMI service based on the value of the service to its customers, and the amount of time after control of the product passes to the customer that the VMI service obligation is completed. It is assumed that any customer who averages placing orders at a frequency of longer than 30 days does not take advantage of the available VMI services offered. The estimate of the cost of sales is based on the estimated time spent on such activities applied to the expenses directly related to sales representatives that provide VMI services to the customer.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Impact of ASC 606 Adoption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applying ASC 606 the Company recorded a liability of $0.7 million for deferred revenue on January 1, 2018. Expenses related to these revenues of $0.4 million were also deferred resulting in a net reduction to opening retained earnings of $0.3 million as of January 1, 2018. At December 31, 2018, the Company had a deferred revenue liability of $0.7 million and a deferred expense of $0.3 million for related expenses associated with the deferred service performance obligations, respectively. The deferral of revenue and expenses does not affect the amount, timing and any uncertainty of cash flows generated from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impact of ASC 606 on Consolidated Statements of Operations and Comprehensive Income:</w:t>
      </w:r>
    </w:p>
    <w:p>
      <w:pPr>
        <w:spacing w:after="0" w:line="387"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6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60" w:type="dxa"/>
            <w:vAlign w:val="bottom"/>
            <w:gridSpan w:val="7"/>
          </w:tcPr>
          <w:p>
            <w:pPr>
              <w:jc w:val="center"/>
              <w:ind w:right="110"/>
              <w:spacing w:after="0"/>
              <w:rPr>
                <w:sz w:val="20"/>
                <w:szCs w:val="20"/>
                <w:color w:val="auto"/>
              </w:rPr>
            </w:pPr>
            <w:r>
              <w:rPr>
                <w:rFonts w:ascii="Arial" w:cs="Arial" w:eastAsia="Arial" w:hAnsi="Arial"/>
                <w:sz w:val="18"/>
                <w:szCs w:val="18"/>
                <w:color w:val="auto"/>
                <w:w w:val="89"/>
              </w:rPr>
              <w:t>Year Ended December 31, 2018</w:t>
            </w:r>
          </w:p>
        </w:tc>
      </w:tr>
      <w:tr>
        <w:trPr>
          <w:trHeight w:val="27"/>
        </w:trPr>
        <w:tc>
          <w:tcPr>
            <w:tcW w:w="6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2"/>
        </w:trPr>
        <w:tc>
          <w:tcPr>
            <w:tcW w:w="6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color w:val="auto"/>
                <w:w w:val="91"/>
              </w:rPr>
              <w:t>Pro-Forma as if</w:t>
            </w:r>
          </w:p>
        </w:tc>
      </w:tr>
      <w:tr>
        <w:trPr>
          <w:trHeight w:val="216"/>
        </w:trPr>
        <w:tc>
          <w:tcPr>
            <w:tcW w:w="6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color w:val="auto"/>
                <w:w w:val="88"/>
              </w:rPr>
              <w:t>Previous</w:t>
            </w:r>
          </w:p>
        </w:tc>
      </w:tr>
      <w:tr>
        <w:trPr>
          <w:trHeight w:val="216"/>
        </w:trPr>
        <w:tc>
          <w:tcPr>
            <w:tcW w:w="6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Service Revenues</w:t>
            </w:r>
          </w:p>
        </w:tc>
        <w:tc>
          <w:tcPr>
            <w:tcW w:w="120" w:type="dxa"/>
            <w:vAlign w:val="bottom"/>
          </w:tcPr>
          <w:p>
            <w:pPr>
              <w:spacing w:after="0"/>
              <w:rPr>
                <w:sz w:val="18"/>
                <w:szCs w:val="18"/>
                <w:color w:val="auto"/>
              </w:rPr>
            </w:pPr>
          </w:p>
        </w:tc>
        <w:tc>
          <w:tcPr>
            <w:tcW w:w="1400" w:type="dxa"/>
            <w:vAlign w:val="bottom"/>
          </w:tcPr>
          <w:p>
            <w:pPr>
              <w:jc w:val="center"/>
              <w:ind w:right="30"/>
              <w:spacing w:after="0"/>
              <w:rPr>
                <w:sz w:val="20"/>
                <w:szCs w:val="20"/>
                <w:color w:val="auto"/>
              </w:rPr>
            </w:pPr>
            <w:r>
              <w:rPr>
                <w:rFonts w:ascii="Arial" w:cs="Arial" w:eastAsia="Arial" w:hAnsi="Arial"/>
                <w:sz w:val="18"/>
                <w:szCs w:val="18"/>
                <w:color w:val="auto"/>
                <w:w w:val="94"/>
              </w:rPr>
              <w:t>Accounting</w:t>
            </w:r>
          </w:p>
        </w:tc>
      </w:tr>
      <w:tr>
        <w:trPr>
          <w:trHeight w:val="216"/>
        </w:trPr>
        <w:tc>
          <w:tcPr>
            <w:tcW w:w="6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and Costs</w:t>
            </w:r>
          </w:p>
        </w:tc>
        <w:tc>
          <w:tcPr>
            <w:tcW w:w="12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color w:val="auto"/>
                <w:w w:val="88"/>
              </w:rPr>
              <w:t>Guidance Was in</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color w:val="auto"/>
              </w:rPr>
              <w:t>As Reported</w:t>
            </w:r>
          </w:p>
        </w:tc>
        <w:tc>
          <w:tcPr>
            <w:tcW w:w="1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Adjustments</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3"/>
              </w:rPr>
              <w:t>Effect (Unaudited)</w:t>
            </w:r>
          </w:p>
        </w:tc>
      </w:tr>
      <w:tr>
        <w:trPr>
          <w:trHeight w:val="27"/>
        </w:trPr>
        <w:tc>
          <w:tcPr>
            <w:tcW w:w="6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15"/>
        </w:trPr>
        <w:tc>
          <w:tcPr>
            <w:tcW w:w="6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310,204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349,587</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Service revenue</w:t>
            </w:r>
          </w:p>
        </w:tc>
        <w:tc>
          <w:tcPr>
            <w:tcW w:w="20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39,433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6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349,637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349,587</w:t>
            </w:r>
          </w:p>
        </w:tc>
      </w:tr>
      <w:tr>
        <w:trPr>
          <w:trHeight w:val="318"/>
        </w:trPr>
        <w:tc>
          <w:tcPr>
            <w:tcW w:w="6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cost of goods sold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145,493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145,493</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Service costs</w:t>
            </w:r>
          </w:p>
        </w:tc>
        <w:tc>
          <w:tcPr>
            <w:tcW w:w="20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14,604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6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 of goods sold</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160,097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145,493</w:t>
            </w:r>
          </w:p>
        </w:tc>
      </w:tr>
      <w:tr>
        <w:trPr>
          <w:trHeight w:val="318"/>
        </w:trPr>
        <w:tc>
          <w:tcPr>
            <w:tcW w:w="6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189,540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204,094</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Gross profit percentage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324"/>
        </w:trPr>
        <w:tc>
          <w:tcPr>
            <w:tcW w:w="6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Selling expenses</w:t>
            </w:r>
          </w:p>
        </w:tc>
        <w:tc>
          <w:tcPr>
            <w:tcW w:w="20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87,642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14,498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102,140</w:t>
            </w: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92,688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92,688</w:t>
            </w:r>
          </w:p>
        </w:tc>
      </w:tr>
      <w:tr>
        <w:trPr>
          <w:trHeight w:val="237"/>
        </w:trPr>
        <w:tc>
          <w:tcPr>
            <w:tcW w:w="634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180,330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14,498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194,828</w:t>
            </w:r>
          </w:p>
        </w:tc>
      </w:tr>
    </w:tbl>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Operating income as reported was $9.21 million whereas pro forma unaudited operating income as if previous accounting guidance was in effect would have been $9.27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Disaggregated revenue by geographic area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color w:val="auto"/>
              </w:rPr>
              <w:t>Unaudited</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470"/>
              <w:spacing w:after="0"/>
              <w:rPr>
                <w:sz w:val="20"/>
                <w:szCs w:val="20"/>
                <w:color w:val="auto"/>
              </w:rPr>
            </w:pPr>
            <w:r>
              <w:rPr>
                <w:rFonts w:ascii="Arial" w:cs="Arial" w:eastAsia="Arial" w:hAnsi="Arial"/>
                <w:sz w:val="18"/>
                <w:szCs w:val="18"/>
                <w:color w:val="auto"/>
                <w:w w:val="99"/>
              </w:rPr>
              <w:t>Year Ending December 31,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color w:val="auto"/>
              </w:rPr>
              <w:t>(Dollars in thousands)</w:t>
            </w:r>
          </w:p>
        </w:tc>
        <w:tc>
          <w:tcPr>
            <w:tcW w:w="4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36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5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279,917</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266,994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47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69,720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38,913</w:t>
            </w:r>
          </w:p>
        </w:tc>
        <w:tc>
          <w:tcPr>
            <w:tcW w:w="0" w:type="dxa"/>
            <w:vAlign w:val="bottom"/>
          </w:tcPr>
          <w:p>
            <w:pPr>
              <w:spacing w:after="0"/>
              <w:rPr>
                <w:sz w:val="1"/>
                <w:szCs w:val="1"/>
                <w:color w:val="auto"/>
              </w:rPr>
            </w:pPr>
          </w:p>
        </w:tc>
      </w:tr>
      <w:tr>
        <w:trPr>
          <w:trHeight w:val="257"/>
        </w:trPr>
        <w:tc>
          <w:tcPr>
            <w:tcW w:w="3620" w:type="dxa"/>
            <w:vAlign w:val="bottom"/>
          </w:tcPr>
          <w:p>
            <w:pPr>
              <w:ind w:left="200"/>
              <w:spacing w:after="0"/>
              <w:rPr>
                <w:sz w:val="20"/>
                <w:szCs w:val="20"/>
                <w:color w:val="auto"/>
              </w:rPr>
            </w:pPr>
            <w:r>
              <w:rPr>
                <w:rFonts w:ascii="Arial" w:cs="Arial" w:eastAsia="Arial" w:hAnsi="Arial"/>
                <w:sz w:val="18"/>
                <w:szCs w:val="18"/>
                <w:color w:val="auto"/>
              </w:rPr>
              <w:t>Consolidated total</w:t>
            </w:r>
          </w:p>
        </w:tc>
        <w:tc>
          <w:tcPr>
            <w:tcW w:w="47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349,637</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305,907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720" w:type="dxa"/>
            <w:vAlign w:val="bottom"/>
            <w:vMerge w:val="restart"/>
          </w:tcPr>
          <w:p>
            <w:pPr>
              <w:jc w:val="right"/>
              <w:ind w:right="2450"/>
              <w:spacing w:after="0"/>
              <w:rPr>
                <w:sz w:val="20"/>
                <w:szCs w:val="20"/>
                <w:color w:val="auto"/>
              </w:rPr>
            </w:pPr>
            <w:r>
              <w:rPr>
                <w:rFonts w:ascii="Arial" w:cs="Arial" w:eastAsia="Arial" w:hAnsi="Arial"/>
                <w:sz w:val="18"/>
                <w:szCs w:val="18"/>
                <w:color w:val="auto"/>
              </w:rPr>
              <w:t>37</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2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Disaggregated revenue by product type follows:</w:t>
      </w:r>
    </w:p>
    <w:p>
      <w:pPr>
        <w:spacing w:after="0" w:line="171" w:lineRule="exact"/>
        <w:rPr>
          <w:sz w:val="20"/>
          <w:szCs w:val="20"/>
          <w:color w:val="auto"/>
        </w:rPr>
      </w:pPr>
    </w:p>
    <w:p>
      <w:pPr>
        <w:jc w:val="center"/>
        <w:ind w:left="826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jc w:val="center"/>
        <w:ind w:left="8260"/>
        <w:spacing w:after="0"/>
        <w:rPr>
          <w:sz w:val="20"/>
          <w:szCs w:val="20"/>
          <w:color w:val="auto"/>
        </w:rPr>
      </w:pPr>
      <w:r>
        <w:rPr>
          <w:rFonts w:ascii="Arial" w:cs="Arial" w:eastAsia="Arial" w:hAnsi="Arial"/>
          <w:sz w:val="18"/>
          <w:szCs w:val="18"/>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40" w:type="dxa"/>
            <w:vAlign w:val="bottom"/>
            <w:gridSpan w:val="2"/>
          </w:tcPr>
          <w:p>
            <w:pPr>
              <w:ind w:left="8820"/>
              <w:spacing w:after="0"/>
              <w:rPr>
                <w:sz w:val="20"/>
                <w:szCs w:val="20"/>
                <w:color w:val="auto"/>
              </w:rPr>
            </w:pPr>
            <w:r>
              <w:rPr>
                <w:rFonts w:ascii="Arial" w:cs="Arial" w:eastAsia="Arial" w:hAnsi="Arial"/>
                <w:sz w:val="18"/>
                <w:szCs w:val="18"/>
                <w:color w:val="auto"/>
                <w:w w:val="99"/>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2017</w:t>
            </w:r>
          </w:p>
        </w:tc>
      </w:tr>
      <w:tr>
        <w:trPr>
          <w:trHeight w:val="27"/>
        </w:trPr>
        <w:tc>
          <w:tcPr>
            <w:tcW w:w="8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58"/>
        </w:trPr>
        <w:tc>
          <w:tcPr>
            <w:tcW w:w="9240" w:type="dxa"/>
            <w:vAlign w:val="bottom"/>
            <w:gridSpan w:val="2"/>
          </w:tcPr>
          <w:p>
            <w:pPr>
              <w:ind w:left="40"/>
              <w:spacing w:after="0"/>
              <w:rPr>
                <w:sz w:val="20"/>
                <w:szCs w:val="20"/>
                <w:color w:val="auto"/>
              </w:rPr>
            </w:pPr>
            <w:r>
              <w:rPr>
                <w:rFonts w:ascii="Arial" w:cs="Arial" w:eastAsia="Arial" w:hAnsi="Arial"/>
                <w:sz w:val="18"/>
                <w:szCs w:val="18"/>
                <w:color w:val="auto"/>
              </w:rPr>
              <w:t>Fastening Systems</w:t>
            </w: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Cutting Tools and Abrasives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9240" w:type="dxa"/>
            <w:vAlign w:val="bottom"/>
            <w:gridSpan w:val="2"/>
          </w:tcPr>
          <w:p>
            <w:pPr>
              <w:ind w:left="40"/>
              <w:spacing w:after="0"/>
              <w:rPr>
                <w:sz w:val="20"/>
                <w:szCs w:val="20"/>
                <w:color w:val="auto"/>
              </w:rPr>
            </w:pPr>
            <w:r>
              <w:rPr>
                <w:rFonts w:ascii="Arial" w:cs="Arial" w:eastAsia="Arial" w:hAnsi="Arial"/>
                <w:sz w:val="18"/>
                <w:szCs w:val="18"/>
                <w:color w:val="auto"/>
              </w:rPr>
              <w:t>Fluid Power</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Specialty Chemicals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9240" w:type="dxa"/>
            <w:vAlign w:val="bottom"/>
            <w:gridSpan w:val="2"/>
          </w:tcPr>
          <w:p>
            <w:pPr>
              <w:ind w:left="40"/>
              <w:spacing w:after="0"/>
              <w:rPr>
                <w:sz w:val="20"/>
                <w:szCs w:val="20"/>
                <w:color w:val="auto"/>
              </w:rPr>
            </w:pPr>
            <w:r>
              <w:rPr>
                <w:rFonts w:ascii="Arial" w:cs="Arial" w:eastAsia="Arial" w:hAnsi="Arial"/>
                <w:sz w:val="18"/>
                <w:szCs w:val="18"/>
                <w:color w:val="auto"/>
              </w:rPr>
              <w:t>Electrical</w:t>
            </w: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Aftermarket Automotive Supplies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9240" w:type="dxa"/>
            <w:vAlign w:val="bottom"/>
            <w:gridSpan w:val="2"/>
          </w:tcPr>
          <w:p>
            <w:pPr>
              <w:ind w:left="40"/>
              <w:spacing w:after="0"/>
              <w:rPr>
                <w:sz w:val="20"/>
                <w:szCs w:val="20"/>
                <w:color w:val="auto"/>
              </w:rPr>
            </w:pPr>
            <w:r>
              <w:rPr>
                <w:rFonts w:ascii="Arial" w:cs="Arial" w:eastAsia="Arial" w:hAnsi="Arial"/>
                <w:sz w:val="18"/>
                <w:szCs w:val="18"/>
                <w:color w:val="auto"/>
              </w:rPr>
              <w:t>Safety</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Welding and Metal Repair</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92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9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Consolidated Total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February 2016, the FASB established Topic ASC 842, Leases, by issuing Accounting Standards Update 2016-02. Lawson intends to adopt ASC 842 as of January 1, 2019. The Company leases property used for distribution centers, office space, and Bolt branch locations throughout the U.S. and Canada, along with various equipment located in distribution centers and corporate headquarters. The Company is also a lessor of its Decatur, Alabama property previously used in conjunction with a discontinued operation, and is a sublessor of a portion of its corporate headquarters. We do not expect a significant change in our leasing activities between now and the adoption of ASC 842.</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expects that the adoption of ASC 842 will have a minimal impact on the operating results of the Company. Upon adoption, the Company will recognize a ROU asset and lease liability for operating leases of approximately $6.8 million and $8.8 million, respectively, as well as reduce a deferred rent liability by approximately $2.0 million. The remaining previously recognized finance lease asset associated with the McCook lease of $4.5 million and the remaining previously recognized finance lease liability of $6.4 million will be derecognized. This will create an increase to beginning retained earnings of approximately $1.9 million. Upon reassessment of the built-to-suit McCook financing lease, a ROU asset and lease liability of approximately $5.3 million will be recorded. Our conclusions are preliminary and subject to change as we finalize our analysis. We will expand our consolidated financial statements disclosure upon adoption of the new standard. The Company will adopt this standard on January 1, 2019 and prior periods will not be recast in transition.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 5 -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completed the acquisition of Screw Products, Inc. in October 2018 for approximately $5.2 million. The purchase price was funded with cash on hand and utilization of the Company's existing credit facility. Screw Products, Inc. is a distributor of bulk industrial products to large manufacturers and job shops. The Company allocated $2.6 million of the purchase price to an intangible asset for customer relationships and $0.5 million for intangible asset for trade names. These amounts were determined by a third party valuation firm with estimated useful lives of 10 and 15 years, respectively. The excess of the purchase price over the fair values of the identifiable assets and liabilities was recorded as goodwill and represents the expected future benefit to the Company from the acquisition of Screw Products. These preliminary estimates and assumptions could change significantly during the purchase price measurement period as the Company finalizes the valuations of the assets acquired and liabilities assumed, and the related tax balances. Such changes could result in material variances between the Company's future financial results and the amounts presented in the unaudited pro forma information, including variances in the estimated purchase price, fair values recorded and expenses associated with these items. The Company's Lawson operating segment includes revenues of approximately $0.6 million from Screw Products in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October, 2017, the Company acquired The Bolt Supply House Ltd., based in Calgary, Canada, for a purchase price of approximately $32.3 million, The purchase price was funded with cash on hand and utilization of Lawson Products’ existing credit facility. Bolt is a leading Canadian distributor of high quality fasteners, power tools and industrial MRO supplies, with 14 branch locations throughout Alberta, Saskatchewan, Manitoba and British Columbia, Canada. The acquisition was made to add to the Company's revenue and earnings and expand distribution coverage in Western Canada.</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purchase price of the acquisition was allocated to the fair market value of Bolt's assets and liabilities on the acquisition date. The fair market value appraisals of the majority of the assets and liabilities were determined by third party valuation firms including intangible assets of $7.2 million for trade names and $4.2 million for customers relationships and their estimated useful lives of 15 and 12 years, respectively. The $14.2 million allocated to goodwill reflects the purchase price less the fair market value of the identifiable net assets. The appropriate fair values of the assets acquired and liabilities assumed, and the related tax balances, are based on various estimates and assumptions. Further operating details related to the operations of Bolt subsequent to the acquisition are included in Note 18 - Segment Information.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8040" w:type="dxa"/>
            <w:vAlign w:val="bottom"/>
            <w:gridSpan w:val="3"/>
          </w:tcPr>
          <w:p>
            <w:pPr>
              <w:ind w:left="300"/>
              <w:spacing w:after="0"/>
              <w:rPr>
                <w:sz w:val="20"/>
                <w:szCs w:val="20"/>
                <w:color w:val="auto"/>
              </w:rPr>
            </w:pPr>
            <w:r>
              <w:rPr>
                <w:rFonts w:ascii="Arial" w:cs="Arial" w:eastAsia="Arial" w:hAnsi="Arial"/>
                <w:sz w:val="18"/>
                <w:szCs w:val="18"/>
                <w:color w:val="auto"/>
              </w:rPr>
              <w:t>A summary of the purchase price allocation of the acquisitions is as follows:</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720" w:type="dxa"/>
            <w:vAlign w:val="bottom"/>
            <w:gridSpan w:val="4"/>
          </w:tcPr>
          <w:p>
            <w:pPr>
              <w:jc w:val="right"/>
              <w:ind w:right="150"/>
              <w:spacing w:after="0"/>
              <w:rPr>
                <w:sz w:val="20"/>
                <w:szCs w:val="20"/>
                <w:color w:val="auto"/>
              </w:rPr>
            </w:pPr>
            <w:r>
              <w:rPr>
                <w:rFonts w:ascii="Arial" w:cs="Arial" w:eastAsia="Arial" w:hAnsi="Arial"/>
                <w:sz w:val="18"/>
                <w:szCs w:val="18"/>
                <w:color w:val="auto"/>
              </w:rPr>
              <w:t>(Dollars in thousands)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80" w:type="dxa"/>
            <w:vAlign w:val="bottom"/>
            <w:gridSpan w:val="3"/>
          </w:tcPr>
          <w:p>
            <w:pPr>
              <w:jc w:val="right"/>
              <w:ind w:right="450"/>
              <w:spacing w:after="0"/>
              <w:rPr>
                <w:sz w:val="20"/>
                <w:szCs w:val="20"/>
                <w:color w:val="auto"/>
              </w:rPr>
            </w:pPr>
            <w:r>
              <w:rPr>
                <w:rFonts w:ascii="Arial" w:cs="Arial" w:eastAsia="Arial" w:hAnsi="Arial"/>
                <w:sz w:val="18"/>
                <w:szCs w:val="18"/>
                <w:color w:val="auto"/>
                <w:w w:val="99"/>
              </w:rPr>
              <w:t>December 31,</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2017</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80" w:type="dxa"/>
            <w:vAlign w:val="bottom"/>
            <w:gridSpan w:val="4"/>
            <w:vMerge w:val="restart"/>
          </w:tcPr>
          <w:p>
            <w:pPr>
              <w:ind w:left="40"/>
              <w:spacing w:after="0"/>
              <w:rPr>
                <w:sz w:val="20"/>
                <w:szCs w:val="20"/>
                <w:color w:val="auto"/>
              </w:rPr>
            </w:pPr>
            <w:r>
              <w:rPr>
                <w:rFonts w:ascii="Arial" w:cs="Arial" w:eastAsia="Arial" w:hAnsi="Arial"/>
                <w:sz w:val="18"/>
                <w:szCs w:val="18"/>
                <w:color w:val="auto"/>
              </w:rPr>
              <w:t>Cash paid and liabilities assumed</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80" w:type="dxa"/>
            <w:vAlign w:val="bottom"/>
            <w:gridSpan w:val="4"/>
            <w:vMerge w:val="continue"/>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4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5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Cash paid</w:t>
            </w:r>
          </w:p>
        </w:tc>
        <w:tc>
          <w:tcPr>
            <w:tcW w:w="104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5,150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32,286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40" w:type="dxa"/>
            <w:vAlign w:val="bottom"/>
            <w:gridSpan w:val="3"/>
          </w:tcPr>
          <w:p>
            <w:pPr>
              <w:ind w:left="160"/>
              <w:spacing w:after="0"/>
              <w:rPr>
                <w:sz w:val="20"/>
                <w:szCs w:val="20"/>
                <w:color w:val="auto"/>
              </w:rPr>
            </w:pPr>
            <w:r>
              <w:rPr>
                <w:rFonts w:ascii="Arial" w:cs="Arial" w:eastAsia="Arial" w:hAnsi="Arial"/>
                <w:sz w:val="18"/>
                <w:szCs w:val="18"/>
                <w:color w:val="auto"/>
              </w:rPr>
              <w:t>Deferred tax liability</w:t>
            </w:r>
          </w:p>
        </w:tc>
        <w:tc>
          <w:tcPr>
            <w:tcW w:w="104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40" w:type="dxa"/>
            <w:vAlign w:val="bottom"/>
            <w:gridSpan w:val="3"/>
          </w:tcPr>
          <w:p>
            <w:pPr>
              <w:ind w:left="160"/>
              <w:spacing w:after="0"/>
              <w:rPr>
                <w:sz w:val="20"/>
                <w:szCs w:val="20"/>
                <w:color w:val="auto"/>
              </w:rPr>
            </w:pPr>
            <w:r>
              <w:rPr>
                <w:rFonts w:ascii="Arial" w:cs="Arial" w:eastAsia="Arial" w:hAnsi="Arial"/>
                <w:sz w:val="18"/>
                <w:szCs w:val="18"/>
                <w:color w:val="auto"/>
              </w:rPr>
              <w:t>Contingent consideration</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6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5,373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37,785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Fair value of assets acquired</w:t>
            </w:r>
          </w:p>
        </w:tc>
        <w:tc>
          <w:tcPr>
            <w:tcW w:w="10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0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Goodwill</w:t>
            </w:r>
          </w:p>
        </w:tc>
        <w:tc>
          <w:tcPr>
            <w:tcW w:w="6000" w:type="dxa"/>
            <w:vAlign w:val="bottom"/>
            <w:tcBorders>
              <w:top w:val="single" w:sz="8" w:color="CCEEFF"/>
            </w:tcBorders>
            <w:gridSpan w:val="2"/>
          </w:tcPr>
          <w:p>
            <w:pPr>
              <w:spacing w:after="0"/>
              <w:rPr>
                <w:sz w:val="21"/>
                <w:szCs w:val="21"/>
                <w:color w:val="auto"/>
              </w:rPr>
            </w:pPr>
          </w:p>
        </w:tc>
        <w:tc>
          <w:tcPr>
            <w:tcW w:w="1040" w:type="dxa"/>
            <w:vAlign w:val="bottom"/>
            <w:tcBorders>
              <w:top w:val="single" w:sz="8" w:color="CCEEFF"/>
            </w:tcBorders>
          </w:tcPr>
          <w:p>
            <w:pPr>
              <w:jc w:val="right"/>
              <w:ind w:right="69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7"/>
              </w:rPr>
              <w:t>1,929</w:t>
            </w:r>
          </w:p>
        </w:tc>
        <w:tc>
          <w:tcPr>
            <w:tcW w:w="10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jc w:val="right"/>
              <w:ind w:right="63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0"/>
              </w:rPr>
              <w:t>14,176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Trade names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40" w:type="dxa"/>
            <w:vAlign w:val="bottom"/>
            <w:gridSpan w:val="3"/>
          </w:tcPr>
          <w:p>
            <w:pPr>
              <w:ind w:left="160"/>
              <w:spacing w:after="0"/>
              <w:rPr>
                <w:sz w:val="20"/>
                <w:szCs w:val="20"/>
                <w:color w:val="auto"/>
              </w:rPr>
            </w:pPr>
            <w:r>
              <w:rPr>
                <w:rFonts w:ascii="Arial" w:cs="Arial" w:eastAsia="Arial" w:hAnsi="Arial"/>
                <w:sz w:val="18"/>
                <w:szCs w:val="18"/>
                <w:color w:val="auto"/>
              </w:rPr>
              <w:t>Inventory</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Customer relationships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2,580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40" w:type="dxa"/>
            <w:vAlign w:val="bottom"/>
            <w:gridSpan w:val="3"/>
          </w:tcPr>
          <w:p>
            <w:pPr>
              <w:ind w:left="160"/>
              <w:spacing w:after="0"/>
              <w:rPr>
                <w:sz w:val="20"/>
                <w:szCs w:val="20"/>
                <w:color w:val="auto"/>
              </w:rPr>
            </w:pPr>
            <w:r>
              <w:rPr>
                <w:rFonts w:ascii="Arial" w:cs="Arial" w:eastAsia="Arial" w:hAnsi="Arial"/>
                <w:sz w:val="18"/>
                <w:szCs w:val="18"/>
                <w:color w:val="auto"/>
              </w:rPr>
              <w:t>Accounts receivable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40" w:type="dxa"/>
            <w:vAlign w:val="bottom"/>
            <w:gridSpan w:val="3"/>
          </w:tcPr>
          <w:p>
            <w:pPr>
              <w:ind w:left="160"/>
              <w:spacing w:after="0"/>
              <w:rPr>
                <w:sz w:val="20"/>
                <w:szCs w:val="20"/>
                <w:color w:val="auto"/>
              </w:rPr>
            </w:pPr>
            <w:r>
              <w:rPr>
                <w:rFonts w:ascii="Arial" w:cs="Arial" w:eastAsia="Arial" w:hAnsi="Arial"/>
                <w:sz w:val="18"/>
                <w:szCs w:val="18"/>
                <w:color w:val="auto"/>
              </w:rPr>
              <w:t>Other assets</w:t>
            </w:r>
          </w:p>
        </w:tc>
        <w:tc>
          <w:tcPr>
            <w:tcW w:w="104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6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5,373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37,785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 acquisition expenses of $0.2 million and $0.7 million, were recorded as a component of General and administrative expenses in the Consolidated Statements of Operations and Comprehensive Income for 2018 and 2017, respectively.</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contains unaudited pro forma net sales and net income for Lawson Products assuming the Screw Products acquisition closed on January 1, 2017 and the Bolt acquisition closed on January 1, 2016.</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color w:val="auto"/>
              </w:rPr>
              <w:t>(Dollars in thousands)</w:t>
            </w:r>
          </w:p>
        </w:tc>
      </w:tr>
      <w:tr>
        <w:trPr>
          <w:trHeight w:val="270"/>
        </w:trPr>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740" w:type="dxa"/>
            <w:vAlign w:val="bottom"/>
            <w:gridSpan w:val="4"/>
          </w:tcPr>
          <w:p>
            <w:pPr>
              <w:jc w:val="right"/>
              <w:ind w:right="490"/>
              <w:spacing w:after="0"/>
              <w:rPr>
                <w:sz w:val="20"/>
                <w:szCs w:val="20"/>
                <w:color w:val="auto"/>
              </w:rPr>
            </w:pPr>
            <w:r>
              <w:rPr>
                <w:rFonts w:ascii="Arial" w:cs="Arial" w:eastAsia="Arial" w:hAnsi="Arial"/>
                <w:sz w:val="18"/>
                <w:szCs w:val="18"/>
                <w:color w:val="auto"/>
              </w:rPr>
              <w:t>Year Ended December 31,</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6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99"/>
              </w:rPr>
              <w:t>Actual</w:t>
            </w:r>
          </w:p>
        </w:tc>
        <w:tc>
          <w:tcPr>
            <w:tcW w:w="7620" w:type="dxa"/>
            <w:vAlign w:val="bottom"/>
            <w:tcBorders>
              <w:top w:val="single" w:sz="8" w:color="CCEEFF"/>
            </w:tcBorders>
            <w:gridSpan w:val="2"/>
          </w:tcPr>
          <w:p>
            <w:pPr>
              <w:spacing w:after="0"/>
              <w:rPr>
                <w:sz w:val="21"/>
                <w:szCs w:val="21"/>
                <w:color w:val="auto"/>
              </w:rPr>
            </w:pPr>
          </w:p>
        </w:tc>
        <w:tc>
          <w:tcPr>
            <w:tcW w:w="34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349,637</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305,907</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Pro forma (unaudited)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334,554</w:t>
            </w:r>
          </w:p>
        </w:tc>
      </w:tr>
      <w:tr>
        <w:trPr>
          <w:trHeight w:val="324"/>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3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82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Actual</w:t>
            </w:r>
          </w:p>
        </w:tc>
        <w:tc>
          <w:tcPr>
            <w:tcW w:w="74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6,214</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29,688</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8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 forma (unaudited)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6,674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31,111</w:t>
            </w:r>
          </w:p>
        </w:tc>
      </w:tr>
      <w:tr>
        <w:trPr>
          <w:trHeight w:val="27"/>
        </w:trPr>
        <w:tc>
          <w:tcPr>
            <w:tcW w:w="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pro forma disclosures in the table above include adjustments for, amortization of intangible assets, interest expense, tax expenses and the impact of pro forma adjustments and acquisition costs to reflect results that are more representative of the combined results of the transactions as if the Screw Products acquisition closed on January 1, 2017 and the Bolt acquisition closed on January 1, 2016. This pro forma information utilizes certain estimates, is presented for illustrative purposes only and may not be indicative of the results of operation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8"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Restricted Cash</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agreed to maintain $0.8 million in a money market account as collateral for an outside party that is providing certain commercial card processing services for the Company. The Company is restricted from withdrawing this balance without the prior consent of the outside party during the term of the agreement.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7 – Inventories, net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340"/>
              <w:spacing w:after="0"/>
              <w:rPr>
                <w:sz w:val="20"/>
                <w:szCs w:val="20"/>
                <w:color w:val="auto"/>
              </w:rPr>
            </w:pPr>
            <w:r>
              <w:rPr>
                <w:rFonts w:ascii="Arial" w:cs="Arial" w:eastAsia="Arial" w:hAnsi="Arial"/>
                <w:sz w:val="18"/>
                <w:szCs w:val="18"/>
                <w:color w:val="auto"/>
                <w:w w:val="98"/>
              </w:rPr>
              <w:t>Inventories, net, consisting primarily of purchased goods which are offered for resale, were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center"/>
              <w:ind w:right="210"/>
              <w:spacing w:after="0"/>
              <w:rPr>
                <w:sz w:val="20"/>
                <w:szCs w:val="20"/>
                <w:color w:val="auto"/>
              </w:rPr>
            </w:pPr>
            <w:r>
              <w:rPr>
                <w:rFonts w:ascii="Arial" w:cs="Arial" w:eastAsia="Arial" w:hAnsi="Arial"/>
                <w:sz w:val="18"/>
                <w:szCs w:val="18"/>
                <w:color w:val="auto"/>
                <w:w w:val="91"/>
              </w:rPr>
              <w:t>(Dollars in thousands)</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color w:val="auto"/>
                <w:w w:val="90"/>
              </w:rPr>
              <w:t>December 31,</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gross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56,492</w:t>
            </w:r>
          </w:p>
        </w:tc>
        <w:tc>
          <w:tcPr>
            <w:tcW w:w="0" w:type="dxa"/>
            <w:vAlign w:val="bottom"/>
          </w:tcPr>
          <w:p>
            <w:pPr>
              <w:spacing w:after="0"/>
              <w:rPr>
                <w:sz w:val="1"/>
                <w:szCs w:val="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Reserve for obsolete and excess inventory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(5,564)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52,887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50,928</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8 - Property, Plant and Equipment</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ind w:left="340"/>
              <w:spacing w:after="0"/>
              <w:rPr>
                <w:sz w:val="20"/>
                <w:szCs w:val="20"/>
                <w:color w:val="auto"/>
              </w:rPr>
            </w:pPr>
            <w:r>
              <w:rPr>
                <w:rFonts w:ascii="Arial" w:cs="Arial" w:eastAsia="Arial" w:hAnsi="Arial"/>
                <w:sz w:val="18"/>
                <w:szCs w:val="18"/>
                <w:color w:val="auto"/>
              </w:rPr>
              <w:t>Components of property, plant and equipment were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center"/>
              <w:ind w:right="210"/>
              <w:spacing w:after="0"/>
              <w:rPr>
                <w:sz w:val="20"/>
                <w:szCs w:val="20"/>
                <w:color w:val="auto"/>
              </w:rPr>
            </w:pPr>
            <w:r>
              <w:rPr>
                <w:rFonts w:ascii="Arial" w:cs="Arial" w:eastAsia="Arial" w:hAnsi="Arial"/>
                <w:sz w:val="18"/>
                <w:szCs w:val="18"/>
                <w:color w:val="auto"/>
                <w:w w:val="91"/>
              </w:rPr>
              <w:t>(Dollars in thousands)</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color w:val="auto"/>
                <w:w w:val="90"/>
              </w:rPr>
              <w:t>December 31,</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333333"/>
            </w:tcBorders>
          </w:tcPr>
          <w:p>
            <w:pPr>
              <w:spacing w:after="0"/>
              <w:rPr>
                <w:sz w:val="2"/>
                <w:szCs w:val="2"/>
                <w:color w:val="auto"/>
              </w:rPr>
            </w:pPr>
          </w:p>
        </w:tc>
        <w:tc>
          <w:tcPr>
            <w:tcW w:w="960" w:type="dxa"/>
            <w:vAlign w:val="bottom"/>
            <w:tcBorders>
              <w:bottom w:val="single" w:sz="8" w:color="333333"/>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16,858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16,973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23,277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21,738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21,947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McCook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Vehicles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85,226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84,939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(61,678)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(57,606)</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23,548</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2017, the Company received net cash proceeds of $6.2 million and recognized a gain of $5.4 million from the sale of its Fairfield, New Jersey distribution center.</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2018, the Company determined that it would most likely exercise its put option on a building of a previously discontinued operation in Decatur, Alabama upon the completion of the environmental remediation as described in Note 15 - Commitments and Contingencies. Accordingly, the Company recognized an impairment charge of $0.2 million in general and administrative expense. The accounting for the lease associated with the property is not expected to change upon the adoption of ASU 2016-02.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9 - Goodwill</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340"/>
              <w:spacing w:after="0"/>
              <w:rPr>
                <w:sz w:val="20"/>
                <w:szCs w:val="20"/>
                <w:color w:val="auto"/>
              </w:rPr>
            </w:pPr>
            <w:r>
              <w:rPr>
                <w:rFonts w:ascii="Arial" w:cs="Arial" w:eastAsia="Arial" w:hAnsi="Arial"/>
                <w:sz w:val="18"/>
                <w:szCs w:val="18"/>
                <w:color w:val="auto"/>
              </w:rPr>
              <w:t>Goodwill activity related to acquisitions is included in the table below:</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color w:val="auto"/>
              </w:rPr>
              <w:t>(Dollars in thousands)</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2017</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Beginning balance</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19,614</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Acquisition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14,176</w:t>
            </w:r>
          </w:p>
        </w:tc>
        <w:tc>
          <w:tcPr>
            <w:tcW w:w="0" w:type="dxa"/>
            <w:vAlign w:val="bottom"/>
          </w:tcPr>
          <w:p>
            <w:pPr>
              <w:spacing w:after="0"/>
              <w:rPr>
                <w:sz w:val="1"/>
                <w:szCs w:val="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Impact of foreign exchange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Adjustment to prior year allocation </w:t>
            </w:r>
            <w:r>
              <w:rPr>
                <w:rFonts w:ascii="Arial" w:cs="Arial" w:eastAsia="Arial" w:hAnsi="Arial"/>
                <w:sz w:val="25"/>
                <w:szCs w:val="25"/>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20,079</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19,614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reduction of $0.2 million in 2018 resulted from an adjustment to the goodwill created by the Bolt acquisition. The reduction of $0.1 million in 2017 resulted from a non-cash adjustment to the estimated purchase price allocation to inventory originally recorded in 2016.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was tested for impairment in the fourth quarter of 2018 and no adjustment was deemed necessary.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Intangible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gross carrying amount and accumulated amortization by intangible asset class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80" w:type="dxa"/>
            <w:vAlign w:val="bottom"/>
            <w:gridSpan w:val="6"/>
          </w:tcPr>
          <w:p>
            <w:pPr>
              <w:jc w:val="center"/>
              <w:spacing w:after="0"/>
              <w:rPr>
                <w:sz w:val="20"/>
                <w:szCs w:val="20"/>
                <w:color w:val="auto"/>
              </w:rPr>
            </w:pPr>
            <w:r>
              <w:rPr>
                <w:rFonts w:ascii="Arial" w:cs="Arial" w:eastAsia="Arial" w:hAnsi="Arial"/>
                <w:sz w:val="18"/>
                <w:szCs w:val="18"/>
                <w:color w:val="auto"/>
                <w:w w:val="91"/>
              </w:rPr>
              <w:t>(Dollars in thousands)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00" w:type="dxa"/>
            <w:vAlign w:val="bottom"/>
            <w:gridSpan w:val="6"/>
          </w:tcPr>
          <w:p>
            <w:pPr>
              <w:jc w:val="center"/>
              <w:ind w:right="330"/>
              <w:spacing w:after="0"/>
              <w:rPr>
                <w:sz w:val="20"/>
                <w:szCs w:val="20"/>
                <w:color w:val="auto"/>
              </w:rPr>
            </w:pPr>
            <w:r>
              <w:rPr>
                <w:rFonts w:ascii="Arial" w:cs="Arial" w:eastAsia="Arial" w:hAnsi="Arial"/>
                <w:sz w:val="18"/>
                <w:szCs w:val="18"/>
                <w:color w:val="auto"/>
                <w:w w:val="91"/>
              </w:rPr>
              <w:t>(Dollars in thousands)</w:t>
            </w:r>
          </w:p>
        </w:tc>
        <w:tc>
          <w:tcPr>
            <w:tcW w:w="980" w:type="dxa"/>
            <w:vAlign w:val="bottom"/>
          </w:tcPr>
          <w:p>
            <w:pPr>
              <w:spacing w:after="0"/>
              <w:rPr>
                <w:sz w:val="20"/>
                <w:szCs w:val="20"/>
                <w:color w:val="auto"/>
              </w:rPr>
            </w:pPr>
          </w:p>
        </w:tc>
      </w:tr>
      <w:tr>
        <w:trPr>
          <w:trHeight w:val="270"/>
        </w:trPr>
        <w:tc>
          <w:tcPr>
            <w:tcW w:w="2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gridSpan w:val="5"/>
          </w:tcPr>
          <w:p>
            <w:pPr>
              <w:jc w:val="center"/>
              <w:ind w:right="40"/>
              <w:spacing w:after="0"/>
              <w:rPr>
                <w:sz w:val="20"/>
                <w:szCs w:val="20"/>
                <w:color w:val="auto"/>
              </w:rPr>
            </w:pPr>
            <w:r>
              <w:rPr>
                <w:rFonts w:ascii="Arial" w:cs="Arial" w:eastAsia="Arial" w:hAnsi="Arial"/>
                <w:sz w:val="18"/>
                <w:szCs w:val="18"/>
                <w:color w:val="auto"/>
                <w:w w:val="88"/>
              </w:rPr>
              <w:t>December 31, 2018</w:t>
            </w: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89"/>
              </w:rPr>
              <w:t>December 31, 2017</w:t>
            </w: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
        </w:trPr>
        <w:tc>
          <w:tcPr>
            <w:tcW w:w="2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w w:val="90"/>
              </w:rPr>
              <w:t>Gross Carrying</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Accumulated</w:t>
            </w:r>
          </w:p>
        </w:tc>
        <w:tc>
          <w:tcPr>
            <w:tcW w:w="14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Net Carrying</w:t>
            </w:r>
          </w:p>
        </w:tc>
        <w:tc>
          <w:tcPr>
            <w:tcW w:w="14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w w:val="92"/>
              </w:rPr>
              <w:t>Gross Carrying</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Accumulated</w:t>
            </w: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color w:val="auto"/>
                <w:w w:val="95"/>
              </w:rPr>
              <w:t>Amortization</w:t>
            </w:r>
          </w:p>
        </w:tc>
        <w:tc>
          <w:tcPr>
            <w:tcW w:w="14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Value</w:t>
            </w:r>
          </w:p>
        </w:tc>
        <w:tc>
          <w:tcPr>
            <w:tcW w:w="140" w:type="dxa"/>
            <w:vAlign w:val="bottom"/>
          </w:tcPr>
          <w:p>
            <w:pPr>
              <w:spacing w:after="0"/>
              <w:rPr>
                <w:sz w:val="20"/>
                <w:szCs w:val="20"/>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Amount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Amortization</w:t>
            </w:r>
          </w:p>
        </w:tc>
        <w:tc>
          <w:tcPr>
            <w:tcW w:w="1460" w:type="dxa"/>
            <w:vAlign w:val="bottom"/>
            <w:gridSpan w:val="2"/>
          </w:tcPr>
          <w:p>
            <w:pPr>
              <w:ind w:left="20"/>
              <w:spacing w:after="0"/>
              <w:rPr>
                <w:sz w:val="20"/>
                <w:szCs w:val="20"/>
                <w:color w:val="auto"/>
              </w:rPr>
            </w:pPr>
            <w:r>
              <w:rPr>
                <w:rFonts w:ascii="Arial" w:cs="Arial" w:eastAsia="Arial" w:hAnsi="Arial"/>
                <w:sz w:val="18"/>
                <w:szCs w:val="18"/>
                <w:color w:val="auto"/>
                <w:w w:val="93"/>
              </w:rPr>
              <w:t>Net Carrying Value</w:t>
            </w:r>
          </w:p>
        </w:tc>
      </w:tr>
      <w:tr>
        <w:trPr>
          <w:trHeight w:val="27"/>
        </w:trPr>
        <w:tc>
          <w:tcPr>
            <w:tcW w:w="2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8,090</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8,182</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7,225</w:t>
            </w: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7,114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6,469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4,911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4,588</w:t>
            </w:r>
          </w:p>
        </w:tc>
      </w:tr>
      <w:tr>
        <w:trPr>
          <w:trHeight w:val="27"/>
        </w:trPr>
        <w:tc>
          <w:tcPr>
            <w:tcW w:w="2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2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13,093</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11,813</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reviews goodwill and intangibles for potential impairment annually on December 1st or when an event or other circumstances change that would more likely than not reduce the fair value of the asset below its carrying value. Amortization expense of $0.9 million and $0.4 million related to intangible assets was recorded in General and administrative expenses for 2018 and 2017, respectively. The estimated aggregate amortization expense for each of the next five years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jc w:val="right"/>
              <w:ind w:right="250"/>
              <w:spacing w:after="0"/>
              <w:rPr>
                <w:sz w:val="20"/>
                <w:szCs w:val="20"/>
                <w:color w:val="auto"/>
              </w:rPr>
            </w:pPr>
            <w:r>
              <w:rPr>
                <w:rFonts w:ascii="Arial" w:cs="Arial" w:eastAsia="Arial" w:hAnsi="Arial"/>
                <w:sz w:val="18"/>
                <w:szCs w:val="18"/>
                <w:color w:val="auto"/>
                <w:w w:val="97"/>
              </w:rPr>
              <w:t>(Dollars in thousands)</w:t>
            </w: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20" w:type="dxa"/>
            <w:vAlign w:val="bottom"/>
          </w:tcPr>
          <w:p>
            <w:pPr>
              <w:spacing w:after="0"/>
              <w:rPr>
                <w:sz w:val="23"/>
                <w:szCs w:val="23"/>
                <w:color w:val="auto"/>
              </w:rPr>
            </w:pP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Amortization</w:t>
            </w:r>
          </w:p>
        </w:tc>
      </w:tr>
      <w:tr>
        <w:trPr>
          <w:trHeight w:val="27"/>
        </w:trPr>
        <w:tc>
          <w:tcPr>
            <w:tcW w:w="9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1,492</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1,406</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5,970</w:t>
            </w:r>
          </w:p>
        </w:tc>
      </w:tr>
      <w:tr>
        <w:trPr>
          <w:trHeight w:val="27"/>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13,112</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4"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85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96"/>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Note 11 – Income Taxes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2"/>
        </w:trPr>
        <w:tc>
          <w:tcPr>
            <w:tcW w:w="8580" w:type="dxa"/>
            <w:vAlign w:val="bottom"/>
            <w:gridSpan w:val="2"/>
          </w:tcPr>
          <w:p>
            <w:pPr>
              <w:ind w:left="340"/>
              <w:spacing w:after="0"/>
              <w:rPr>
                <w:sz w:val="20"/>
                <w:szCs w:val="20"/>
                <w:color w:val="auto"/>
              </w:rPr>
            </w:pPr>
            <w:r>
              <w:rPr>
                <w:rFonts w:ascii="Arial" w:cs="Arial" w:eastAsia="Arial" w:hAnsi="Arial"/>
                <w:sz w:val="18"/>
                <w:szCs w:val="18"/>
                <w:color w:val="auto"/>
              </w:rPr>
              <w:t>Income (loss) from operations before income taxes consisted of the following:</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4"/>
          </w:tcPr>
          <w:p>
            <w:pPr>
              <w:jc w:val="right"/>
              <w:ind w:right="530"/>
              <w:spacing w:after="0"/>
              <w:rPr>
                <w:sz w:val="20"/>
                <w:szCs w:val="20"/>
                <w:color w:val="auto"/>
              </w:rPr>
            </w:pPr>
            <w:r>
              <w:rPr>
                <w:rFonts w:ascii="Arial" w:cs="Arial" w:eastAsia="Arial" w:hAnsi="Arial"/>
                <w:sz w:val="18"/>
                <w:szCs w:val="18"/>
                <w:color w:val="auto"/>
              </w:rPr>
              <w:t>(Dollars in thousands)</w:t>
            </w:r>
          </w:p>
        </w:tc>
      </w:tr>
      <w:tr>
        <w:trPr>
          <w:trHeight w:val="270"/>
        </w:trPr>
        <w:tc>
          <w:tcPr>
            <w:tcW w:w="1280" w:type="dxa"/>
            <w:vAlign w:val="bottom"/>
          </w:tcPr>
          <w:p>
            <w:pPr>
              <w:spacing w:after="0"/>
              <w:rPr>
                <w:sz w:val="23"/>
                <w:szCs w:val="23"/>
                <w:color w:val="auto"/>
              </w:rPr>
            </w:pPr>
          </w:p>
        </w:tc>
        <w:tc>
          <w:tcPr>
            <w:tcW w:w="7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40" w:type="dxa"/>
            <w:vAlign w:val="bottom"/>
            <w:gridSpan w:val="4"/>
          </w:tcPr>
          <w:p>
            <w:pPr>
              <w:jc w:val="right"/>
              <w:ind w:right="370"/>
              <w:spacing w:after="0"/>
              <w:rPr>
                <w:sz w:val="20"/>
                <w:szCs w:val="20"/>
                <w:color w:val="auto"/>
              </w:rPr>
            </w:pPr>
            <w:r>
              <w:rPr>
                <w:rFonts w:ascii="Arial" w:cs="Arial" w:eastAsia="Arial" w:hAnsi="Arial"/>
                <w:sz w:val="18"/>
                <w:szCs w:val="18"/>
                <w:color w:val="auto"/>
                <w:w w:val="96"/>
              </w:rPr>
              <w:t>Year Ended December 31,</w:t>
            </w:r>
          </w:p>
        </w:tc>
      </w:tr>
      <w:tr>
        <w:trPr>
          <w:trHeight w:val="27"/>
        </w:trPr>
        <w:tc>
          <w:tcPr>
            <w:tcW w:w="12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128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10,159</w:t>
            </w:r>
          </w:p>
        </w:tc>
      </w:tr>
      <w:tr>
        <w:trPr>
          <w:trHeight w:val="243"/>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128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1280" w:type="dxa"/>
            <w:vAlign w:val="bottom"/>
            <w:tcBorders>
              <w:bottom w:val="single" w:sz="8" w:color="CCEEFF"/>
            </w:tcBorders>
            <w:shd w:val="clear" w:color="auto" w:fill="CCEEFF"/>
          </w:tcPr>
          <w:p>
            <w:pPr>
              <w:spacing w:after="0"/>
              <w:rPr>
                <w:sz w:val="22"/>
                <w:szCs w:val="22"/>
                <w:color w:val="auto"/>
              </w:rPr>
            </w:pPr>
          </w:p>
        </w:tc>
        <w:tc>
          <w:tcPr>
            <w:tcW w:w="7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10,094</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Provision (benefit) for income taxes from operations for the years ended December 31,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840" w:type="dxa"/>
            <w:vAlign w:val="bottom"/>
            <w:gridSpan w:val="5"/>
          </w:tcPr>
          <w:p>
            <w:pPr>
              <w:jc w:val="right"/>
              <w:ind w:right="530"/>
              <w:spacing w:after="0"/>
              <w:rPr>
                <w:sz w:val="20"/>
                <w:szCs w:val="20"/>
                <w:color w:val="auto"/>
              </w:rPr>
            </w:pPr>
            <w:r>
              <w:rPr>
                <w:rFonts w:ascii="Arial" w:cs="Arial" w:eastAsia="Arial" w:hAnsi="Arial"/>
                <w:sz w:val="18"/>
                <w:szCs w:val="18"/>
                <w:color w:val="auto"/>
              </w:rPr>
              <w:t>(Dollars in thousands)</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2840" w:type="dxa"/>
            <w:vAlign w:val="bottom"/>
            <w:gridSpan w:val="5"/>
          </w:tcPr>
          <w:p>
            <w:pPr>
              <w:jc w:val="right"/>
              <w:ind w:right="37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income tax expense (benefit):</w:t>
            </w:r>
          </w:p>
        </w:tc>
        <w:tc>
          <w:tcPr>
            <w:tcW w:w="4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U.S. federal</w:t>
            </w:r>
          </w:p>
        </w:tc>
        <w:tc>
          <w:tcPr>
            <w:tcW w:w="524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state</w:t>
            </w:r>
          </w:p>
        </w:tc>
        <w:tc>
          <w:tcPr>
            <w:tcW w:w="4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Canada</w:t>
            </w:r>
          </w:p>
        </w:tc>
        <w:tc>
          <w:tcPr>
            <w:tcW w:w="4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240" w:type="dxa"/>
            <w:vAlign w:val="bottom"/>
            <w:tcBorders>
              <w:bottom w:val="single" w:sz="8" w:color="CCEEFF"/>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Deferred income tax expense (benefit):</w:t>
            </w:r>
          </w:p>
        </w:tc>
        <w:tc>
          <w:tcPr>
            <w:tcW w:w="434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federal</w:t>
            </w:r>
          </w:p>
        </w:tc>
        <w:tc>
          <w:tcPr>
            <w:tcW w:w="5240" w:type="dxa"/>
            <w:vAlign w:val="bottom"/>
            <w:tcBorders>
              <w:bottom w:val="single" w:sz="8" w:color="CCEEFF"/>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(17,971)</w:t>
            </w: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U.S. state</w:t>
            </w:r>
          </w:p>
        </w:tc>
        <w:tc>
          <w:tcPr>
            <w:tcW w:w="4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(464)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4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360"/>
              <w:spacing w:after="0"/>
              <w:rPr>
                <w:sz w:val="20"/>
                <w:szCs w:val="20"/>
                <w:color w:val="auto"/>
              </w:rPr>
            </w:pPr>
            <w:r>
              <w:rPr>
                <w:rFonts w:ascii="Arial" w:cs="Arial" w:eastAsia="Arial" w:hAnsi="Arial"/>
                <w:sz w:val="18"/>
                <w:szCs w:val="18"/>
                <w:color w:val="auto"/>
              </w:rPr>
              <w:t>Total</w:t>
            </w:r>
          </w:p>
        </w:tc>
        <w:tc>
          <w:tcPr>
            <w:tcW w:w="4340" w:type="dxa"/>
            <w:vAlign w:val="bottom"/>
          </w:tcPr>
          <w:p>
            <w:pPr>
              <w:spacing w:after="0"/>
              <w:rPr>
                <w:sz w:val="20"/>
                <w:szCs w:val="20"/>
                <w:color w:val="auto"/>
              </w:rPr>
            </w:pPr>
          </w:p>
        </w:tc>
        <w:tc>
          <w:tcPr>
            <w:tcW w:w="90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(21,228)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w:t>
            </w:r>
          </w:p>
        </w:tc>
        <w:tc>
          <w:tcPr>
            <w:tcW w:w="4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U.S. federal</w:t>
            </w:r>
          </w:p>
        </w:tc>
        <w:tc>
          <w:tcPr>
            <w:tcW w:w="524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(17,675)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state</w:t>
            </w:r>
          </w:p>
        </w:tc>
        <w:tc>
          <w:tcPr>
            <w:tcW w:w="4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Canada</w:t>
            </w:r>
          </w:p>
        </w:tc>
        <w:tc>
          <w:tcPr>
            <w:tcW w:w="4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24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43</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4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between the effective income tax rate and the statutory federal rate for operations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80" w:type="dxa"/>
            <w:vAlign w:val="bottom"/>
          </w:tcPr>
          <w:p>
            <w:pPr>
              <w:spacing w:after="0"/>
              <w:rPr>
                <w:sz w:val="20"/>
                <w:szCs w:val="20"/>
                <w:color w:val="auto"/>
              </w:rPr>
            </w:pPr>
          </w:p>
        </w:tc>
        <w:tc>
          <w:tcPr>
            <w:tcW w:w="3040" w:type="dxa"/>
            <w:vAlign w:val="bottom"/>
            <w:gridSpan w:val="3"/>
          </w:tcPr>
          <w:p>
            <w:pPr>
              <w:jc w:val="right"/>
              <w:ind w:right="470"/>
              <w:spacing w:after="0"/>
              <w:rPr>
                <w:sz w:val="20"/>
                <w:szCs w:val="20"/>
                <w:color w:val="auto"/>
              </w:rPr>
            </w:pPr>
            <w:r>
              <w:rPr>
                <w:rFonts w:ascii="Arial" w:cs="Arial" w:eastAsia="Arial" w:hAnsi="Arial"/>
                <w:sz w:val="18"/>
                <w:szCs w:val="18"/>
                <w:color w:val="auto"/>
              </w:rPr>
              <w:t>Year Ended December 31,</w:t>
            </w:r>
          </w:p>
        </w:tc>
      </w:tr>
      <w:tr>
        <w:trPr>
          <w:trHeight w:val="27"/>
        </w:trPr>
        <w:tc>
          <w:tcPr>
            <w:tcW w:w="83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38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27"/>
        </w:trPr>
        <w:tc>
          <w:tcPr>
            <w:tcW w:w="83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Federal rate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Increase (decrease) resulting from:</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 in valuation allowance - reversal</w:t>
            </w:r>
          </w:p>
        </w:tc>
        <w:tc>
          <w:tcPr>
            <w:tcW w:w="1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(210.5)</w:t>
            </w:r>
          </w:p>
        </w:tc>
      </w:tr>
      <w:tr>
        <w:trPr>
          <w:trHeight w:val="243"/>
        </w:trPr>
        <w:tc>
          <w:tcPr>
            <w:tcW w:w="8380" w:type="dxa"/>
            <w:vAlign w:val="bottom"/>
          </w:tcPr>
          <w:p>
            <w:pPr>
              <w:ind w:left="200"/>
              <w:spacing w:after="0"/>
              <w:rPr>
                <w:sz w:val="20"/>
                <w:szCs w:val="20"/>
                <w:color w:val="auto"/>
              </w:rPr>
            </w:pPr>
            <w:r>
              <w:rPr>
                <w:rFonts w:ascii="Arial" w:cs="Arial" w:eastAsia="Arial" w:hAnsi="Arial"/>
                <w:sz w:val="18"/>
                <w:szCs w:val="18"/>
                <w:color w:val="auto"/>
              </w:rPr>
              <w:t>Change in valuation allowance - federal tax rate change</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(126.4)</w:t>
            </w:r>
          </w:p>
        </w:tc>
      </w:tr>
      <w:tr>
        <w:trPr>
          <w:trHeight w:val="27"/>
        </w:trPr>
        <w:tc>
          <w:tcPr>
            <w:tcW w:w="8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 in valuation allowance - current period activity</w:t>
            </w: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(65.7)</w:t>
            </w:r>
          </w:p>
        </w:tc>
      </w:tr>
      <w:tr>
        <w:trPr>
          <w:trHeight w:val="243"/>
        </w:trPr>
        <w:tc>
          <w:tcPr>
            <w:tcW w:w="8380" w:type="dxa"/>
            <w:vAlign w:val="bottom"/>
          </w:tcPr>
          <w:p>
            <w:pPr>
              <w:ind w:left="200"/>
              <w:spacing w:after="0"/>
              <w:rPr>
                <w:sz w:val="20"/>
                <w:szCs w:val="20"/>
                <w:color w:val="auto"/>
              </w:rPr>
            </w:pPr>
            <w:r>
              <w:rPr>
                <w:rFonts w:ascii="Arial" w:cs="Arial" w:eastAsia="Arial" w:hAnsi="Arial"/>
                <w:sz w:val="18"/>
                <w:szCs w:val="18"/>
                <w:color w:val="auto"/>
              </w:rPr>
              <w:t>Federal tax rate change</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126.4</w:t>
            </w:r>
          </w:p>
        </w:tc>
      </w:tr>
      <w:tr>
        <w:trPr>
          <w:trHeight w:val="27"/>
        </w:trPr>
        <w:tc>
          <w:tcPr>
            <w:tcW w:w="8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income inclusion</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29.2</w:t>
            </w:r>
          </w:p>
        </w:tc>
      </w:tr>
      <w:tr>
        <w:trPr>
          <w:trHeight w:val="243"/>
        </w:trPr>
        <w:tc>
          <w:tcPr>
            <w:tcW w:w="8380" w:type="dxa"/>
            <w:vAlign w:val="bottom"/>
          </w:tcPr>
          <w:p>
            <w:pPr>
              <w:ind w:left="200"/>
              <w:spacing w:after="0"/>
              <w:rPr>
                <w:sz w:val="20"/>
                <w:szCs w:val="20"/>
                <w:color w:val="auto"/>
              </w:rPr>
            </w:pPr>
            <w:r>
              <w:rPr>
                <w:rFonts w:ascii="Arial" w:cs="Arial" w:eastAsia="Arial" w:hAnsi="Arial"/>
                <w:sz w:val="18"/>
                <w:szCs w:val="18"/>
                <w:color w:val="auto"/>
              </w:rPr>
              <w:t>Change in uncertain tax positions</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7.7</w:t>
            </w:r>
          </w:p>
        </w:tc>
      </w:tr>
      <w:tr>
        <w:trPr>
          <w:trHeight w:val="27"/>
        </w:trPr>
        <w:tc>
          <w:tcPr>
            <w:tcW w:w="8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State and local taxes, net</w:t>
            </w: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w:t>
            </w:r>
          </w:p>
        </w:tc>
      </w:tr>
      <w:tr>
        <w:trPr>
          <w:trHeight w:val="243"/>
        </w:trPr>
        <w:tc>
          <w:tcPr>
            <w:tcW w:w="8380" w:type="dxa"/>
            <w:vAlign w:val="bottom"/>
          </w:tcPr>
          <w:p>
            <w:pPr>
              <w:ind w:left="200"/>
              <w:spacing w:after="0"/>
              <w:rPr>
                <w:sz w:val="20"/>
                <w:szCs w:val="20"/>
                <w:color w:val="auto"/>
              </w:rPr>
            </w:pPr>
            <w:r>
              <w:rPr>
                <w:rFonts w:ascii="Arial" w:cs="Arial" w:eastAsia="Arial" w:hAnsi="Arial"/>
                <w:sz w:val="18"/>
                <w:szCs w:val="18"/>
                <w:color w:val="auto"/>
              </w:rPr>
              <w:t>Stock compensation</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(1.9)</w:t>
            </w:r>
          </w:p>
        </w:tc>
      </w:tr>
      <w:tr>
        <w:trPr>
          <w:trHeight w:val="27"/>
        </w:trPr>
        <w:tc>
          <w:tcPr>
            <w:tcW w:w="8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Meals &amp; entertainment</w:t>
            </w: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r>
      <w:tr>
        <w:trPr>
          <w:trHeight w:val="243"/>
        </w:trPr>
        <w:tc>
          <w:tcPr>
            <w:tcW w:w="8380" w:type="dxa"/>
            <w:vAlign w:val="bottom"/>
          </w:tcPr>
          <w:p>
            <w:pPr>
              <w:ind w:left="200"/>
              <w:spacing w:after="0"/>
              <w:rPr>
                <w:sz w:val="20"/>
                <w:szCs w:val="20"/>
                <w:color w:val="auto"/>
              </w:rPr>
            </w:pPr>
            <w:r>
              <w:rPr>
                <w:rFonts w:ascii="Arial" w:cs="Arial" w:eastAsia="Arial" w:hAnsi="Arial"/>
                <w:sz w:val="18"/>
                <w:szCs w:val="18"/>
                <w:color w:val="auto"/>
              </w:rPr>
              <w:t>Alternative Minimum Tax</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3.6</w:t>
            </w:r>
          </w:p>
        </w:tc>
      </w:tr>
      <w:tr>
        <w:trPr>
          <w:trHeight w:val="27"/>
        </w:trPr>
        <w:tc>
          <w:tcPr>
            <w:tcW w:w="8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to return differences</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r>
      <w:tr>
        <w:trPr>
          <w:trHeight w:val="243"/>
        </w:trPr>
        <w:tc>
          <w:tcPr>
            <w:tcW w:w="8380" w:type="dxa"/>
            <w:vAlign w:val="bottom"/>
          </w:tcPr>
          <w:p>
            <w:pPr>
              <w:ind w:left="200"/>
              <w:spacing w:after="0"/>
              <w:rPr>
                <w:sz w:val="20"/>
                <w:szCs w:val="20"/>
                <w:color w:val="auto"/>
              </w:rPr>
            </w:pPr>
            <w:r>
              <w:rPr>
                <w:rFonts w:ascii="Arial" w:cs="Arial" w:eastAsia="Arial" w:hAnsi="Arial"/>
                <w:sz w:val="18"/>
                <w:szCs w:val="18"/>
                <w:color w:val="auto"/>
              </w:rPr>
              <w:t>Foreign Currency Loss</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8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items, net</w:t>
            </w: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r>
      <w:tr>
        <w:trPr>
          <w:trHeight w:val="257"/>
        </w:trPr>
        <w:tc>
          <w:tcPr>
            <w:tcW w:w="83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w:t>
            </w:r>
          </w:p>
        </w:tc>
      </w:tr>
      <w:tr>
        <w:trPr>
          <w:trHeight w:val="20"/>
        </w:trPr>
        <w:tc>
          <w:tcPr>
            <w:tcW w:w="83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The Company paid income taxes of $1.3 million and $0.3 million in the years ended December 31, 2018 and 2017, respectively. At December 31, 2018, the Company had $20.2 million of U.S. federal net operating loss carryforwards which are subject to expiration beginning in 2030 and $20.5 million of various state net operating loss carryforwards which expire at varying dates through 2034.</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Primarily due to the cumulative losses that were incurred over several years, management determined in 2012 that it was more likely than not that the company would not be able to utilize its deferred tax assets to offset future taxable income. Valuation allowances ("VA’s") were recorded against virtually all the gross deferred tax assets at that time. At each reporting date since 2012, Lawson management has considered new evidence, both positive and negative, that could impact management’s view with regard to the realization of its deferred tax assets and the reversal of the corresponding valuation allowances. If the company was able to demonstrate that it can consistently generate income it may lead to a determination that there is sufficient positive evidence to conclude that it is more likely than not that the company will be able to utilize its deferred tax assets to offset future taxable income.</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2017 we had continued to generate pre-tax profits and had utilized some of our net operating loss carryforwards over the previous two years and were in a three year cumulative income position in the U.S. Based on available evidence, including the utilization of $13.0 million of net operating loss carryforwards in 2017, we reached a point of increased confidence in our ability to sustain profit levels and we believed it was more likely than not that we would be able to utilize a substantial amount of our deferred tax assets to offset future taxable income. Therefore, a large portion of our U.S. valuation allowances were released in 2017.</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valuation allowances mostly pertaining to the deferred tax assets related to our foreign operations will remain. The Company will continue to monitor all positive and negative evidence related to the remaining valuation of deferred tax assets on a quarterly basis.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Tax Cuts and Jobs Act was enacted into law on December 22, 2017. Among its provisions, the law reduced the U.S. corporate income tax rate from 35% to 21%, effective January 1, 2018, requiring the Company to re-measure its net U.S. deferred tax assets to reflect the reduction in the tax rate. The impact of the change resulted in a reduction to deferred tax assets of $12.6 million offset by the same decrease in the valuation allowance. The income tax benefit recorded in 2017 of $19.6 million was primarily the result of the valuation allowance reversal of $21.2 million recorded at December 31, 2017.</w:t>
      </w:r>
    </w:p>
    <w:p>
      <w:pPr>
        <w:spacing w:after="0" w:line="15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Tax Cuts and Jobs Act also requires that a U.S. shareholder of a specified foreign corporation ("SFC") to include in gross income, at the end of the SFC’s last tax year beginning before January 1, 2018, the US shareholder’s pro-rata share of certain of the SFC’s undistributed and previously untaxed post-1986 foreign earnings and profits ("E&amp;P"). The U.S. shareholder’s income inclusion is taxed at an effective U.S. federal income tax rate of either 15.5% or 8%. The 15.5% rate applies to the extent that the SFC’s hold cash and certain other assets, and the 8% rate applies to the extent the income inclusion exceeds the foreign cash position. During the fourth quarter of 2017, the Company utilized $8.4 million of net operating losses to offset its E&amp;P.</w:t>
      </w:r>
    </w:p>
    <w:p>
      <w:pPr>
        <w:spacing w:after="0" w:line="1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Securities and Exchange Commission ("SEC") recently issued SAB 118 (Income Tax Accounting Implications of the Tax Cuts and Jobs Act) which allows registrants to record provisional amounts during a measurement period. The SAB allows a company to recognize provisional amounts when it does not have the necessary information prepared in reasonable detail to calculate the effect of the change in tax law. Per the SAB, a company should report provisional amounts when the accounting is not complete, but for which a reasonable estimate can be determined. Lawson included in its 2017 taxable income calculation a provisional amount of approximately $8.4 million representing previously untaxed foreign earnings and profits. The Company did not accrue any federal income tax on this amount as the company was able to utilize federal net operating losses to offset the income. The Company recently finalized the foreign earnings and profit calculation in conjunction with the finalization of the 2017 federal income tax return when all required necessary information was more readily available. A lower final foreign earnings and profits inclusion of $3.9 million resulted in a tax benefit which has a beneficial impact on the effective tax rate for the year ending December 31, 2018.</w:t>
      </w:r>
    </w:p>
    <w:p>
      <w:pPr>
        <w:spacing w:after="0" w:line="1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acquisitions completed in 2018, 2017, 2016 and 2015, the Company recorded $20.1 million of tax deductible goodwill that may result in a tax benefit in future periods.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income tax assets and liabilities contain the following temporary differences: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4"/>
          </w:tcPr>
          <w:p>
            <w:pPr>
              <w:jc w:val="right"/>
              <w:ind w:right="290"/>
              <w:spacing w:after="0"/>
              <w:rPr>
                <w:sz w:val="20"/>
                <w:szCs w:val="20"/>
                <w:color w:val="auto"/>
              </w:rPr>
            </w:pPr>
            <w:r>
              <w:rPr>
                <w:rFonts w:ascii="Arial" w:cs="Arial" w:eastAsia="Arial" w:hAnsi="Arial"/>
                <w:sz w:val="18"/>
                <w:szCs w:val="18"/>
                <w:color w:val="auto"/>
                <w:w w:val="99"/>
              </w:rPr>
              <w:t>(Dollars in thousands)</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gridSpan w:val="4"/>
          </w:tcPr>
          <w:p>
            <w:pPr>
              <w:jc w:val="right"/>
              <w:ind w:right="59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4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4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9,878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12,120</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and benefits</w:t>
            </w:r>
          </w:p>
        </w:tc>
        <w:tc>
          <w:tcPr>
            <w:tcW w:w="4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7,828</w:t>
            </w: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Inventory reserve</w:t>
            </w:r>
          </w:p>
        </w:tc>
        <w:tc>
          <w:tcPr>
            <w:tcW w:w="4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loss carryforward</w:t>
            </w:r>
          </w:p>
        </w:tc>
        <w:tc>
          <w:tcPr>
            <w:tcW w:w="4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Accounts receivable reserve</w:t>
            </w:r>
          </w:p>
        </w:tc>
        <w:tc>
          <w:tcPr>
            <w:tcW w:w="4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37"/>
        </w:trPr>
        <w:tc>
          <w:tcPr>
            <w:tcW w:w="4760" w:type="dxa"/>
            <w:vAlign w:val="bottom"/>
          </w:tcPr>
          <w:p>
            <w:pPr>
              <w:ind w:left="340"/>
              <w:spacing w:after="0"/>
              <w:rPr>
                <w:sz w:val="20"/>
                <w:szCs w:val="20"/>
                <w:color w:val="auto"/>
              </w:rPr>
            </w:pPr>
            <w:r>
              <w:rPr>
                <w:rFonts w:ascii="Arial" w:cs="Arial" w:eastAsia="Arial" w:hAnsi="Arial"/>
                <w:sz w:val="18"/>
                <w:szCs w:val="18"/>
                <w:color w:val="auto"/>
              </w:rPr>
              <w:t>Total deferred tax assets</w:t>
            </w:r>
          </w:p>
        </w:tc>
        <w:tc>
          <w:tcPr>
            <w:tcW w:w="4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23,161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24,248</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4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4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4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Other</w:t>
            </w:r>
          </w:p>
        </w:tc>
        <w:tc>
          <w:tcPr>
            <w:tcW w:w="4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liabilities</w:t>
            </w:r>
          </w:p>
        </w:tc>
        <w:tc>
          <w:tcPr>
            <w:tcW w:w="4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37"/>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Net deferred tax assets before valuation allowance</w:t>
            </w:r>
          </w:p>
        </w:tc>
        <w:tc>
          <w:tcPr>
            <w:tcW w:w="4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20,400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20,689</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Valuation allowance</w:t>
            </w:r>
          </w:p>
        </w:tc>
        <w:tc>
          <w:tcPr>
            <w:tcW w:w="42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57"/>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Net deferred tax assets</w:t>
            </w:r>
          </w:p>
        </w:tc>
        <w:tc>
          <w:tcPr>
            <w:tcW w:w="42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17,831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18,133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4260" w:type="dxa"/>
            <w:vAlign w:val="bottom"/>
            <w:vMerge w:val="restart"/>
          </w:tcPr>
          <w:p>
            <w:pPr>
              <w:jc w:val="right"/>
              <w:ind w:right="3130"/>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6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696"/>
        </w:trPr>
        <w:tc>
          <w:tcPr>
            <w:tcW w:w="9020" w:type="dxa"/>
            <w:vAlign w:val="bottom"/>
            <w:gridSpan w:val="2"/>
          </w:tcPr>
          <w:p>
            <w:pPr>
              <w:ind w:left="3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4"/>
          </w:tcPr>
          <w:p>
            <w:pPr>
              <w:jc w:val="right"/>
              <w:ind w:right="290"/>
              <w:spacing w:after="0"/>
              <w:rPr>
                <w:sz w:val="20"/>
                <w:szCs w:val="20"/>
                <w:color w:val="auto"/>
              </w:rPr>
            </w:pPr>
            <w:r>
              <w:rPr>
                <w:rFonts w:ascii="Arial" w:cs="Arial" w:eastAsia="Arial" w:hAnsi="Arial"/>
                <w:sz w:val="18"/>
                <w:szCs w:val="18"/>
                <w:color w:val="auto"/>
                <w:w w:val="99"/>
              </w:rPr>
              <w:t>(Dollars in thousands)</w:t>
            </w:r>
          </w:p>
        </w:tc>
      </w:tr>
      <w:tr>
        <w:trPr>
          <w:trHeight w:val="270"/>
        </w:trPr>
        <w:tc>
          <w:tcPr>
            <w:tcW w:w="1280" w:type="dxa"/>
            <w:vAlign w:val="bottom"/>
          </w:tcPr>
          <w:p>
            <w:pPr>
              <w:spacing w:after="0"/>
              <w:rPr>
                <w:sz w:val="23"/>
                <w:szCs w:val="23"/>
                <w:color w:val="auto"/>
              </w:rPr>
            </w:pPr>
          </w:p>
        </w:tc>
        <w:tc>
          <w:tcPr>
            <w:tcW w:w="7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gridSpan w:val="4"/>
          </w:tcPr>
          <w:p>
            <w:pPr>
              <w:jc w:val="right"/>
              <w:ind w:right="590"/>
              <w:spacing w:after="0"/>
              <w:rPr>
                <w:sz w:val="20"/>
                <w:szCs w:val="20"/>
                <w:color w:val="auto"/>
              </w:rPr>
            </w:pPr>
            <w:r>
              <w:rPr>
                <w:rFonts w:ascii="Arial" w:cs="Arial" w:eastAsia="Arial" w:hAnsi="Arial"/>
                <w:sz w:val="18"/>
                <w:szCs w:val="18"/>
                <w:color w:val="auto"/>
              </w:rPr>
              <w:t>December 31,</w:t>
            </w:r>
          </w:p>
        </w:tc>
      </w:tr>
      <w:tr>
        <w:trPr>
          <w:trHeight w:val="27"/>
        </w:trPr>
        <w:tc>
          <w:tcPr>
            <w:tcW w:w="128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1280" w:type="dxa"/>
            <w:vAlign w:val="bottom"/>
            <w:tcBorders>
              <w:bottom w:val="single" w:sz="8" w:color="CCEEFF"/>
            </w:tcBorders>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3,249</w:t>
            </w:r>
          </w:p>
        </w:tc>
      </w:tr>
      <w:tr>
        <w:trPr>
          <w:trHeight w:val="243"/>
        </w:trPr>
        <w:tc>
          <w:tcPr>
            <w:tcW w:w="9020" w:type="dxa"/>
            <w:vAlign w:val="bottom"/>
            <w:gridSpan w:val="2"/>
          </w:tcPr>
          <w:p>
            <w:pPr>
              <w:ind w:left="220"/>
              <w:spacing w:after="0"/>
              <w:rPr>
                <w:sz w:val="20"/>
                <w:szCs w:val="20"/>
                <w:color w:val="auto"/>
              </w:rPr>
            </w:pPr>
            <w:r>
              <w:rPr>
                <w:rFonts w:ascii="Arial" w:cs="Arial" w:eastAsia="Arial" w:hAnsi="Arial"/>
                <w:sz w:val="18"/>
                <w:szCs w:val="18"/>
                <w:color w:val="auto"/>
              </w:rPr>
              <w:t>Additions for tax positions of current year</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865</w:t>
            </w:r>
          </w:p>
        </w:tc>
      </w:tr>
      <w:tr>
        <w:trPr>
          <w:trHeight w:val="27"/>
        </w:trPr>
        <w:tc>
          <w:tcPr>
            <w:tcW w:w="128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Additions for tax positions of prior years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9020" w:type="dxa"/>
            <w:vAlign w:val="bottom"/>
            <w:gridSpan w:val="2"/>
          </w:tcPr>
          <w:p>
            <w:pPr>
              <w:ind w:left="220"/>
              <w:spacing w:after="0"/>
              <w:rPr>
                <w:sz w:val="20"/>
                <w:szCs w:val="20"/>
                <w:color w:val="auto"/>
              </w:rPr>
            </w:pPr>
            <w:r>
              <w:rPr>
                <w:rFonts w:ascii="Arial" w:cs="Arial" w:eastAsia="Arial" w:hAnsi="Arial"/>
                <w:sz w:val="18"/>
                <w:szCs w:val="18"/>
                <w:color w:val="auto"/>
              </w:rPr>
              <w:t>Reductions for tax positions of prior year</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Borders>
              <w:bottom w:val="single" w:sz="8" w:color="CCEEFF"/>
            </w:tcBorders>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4,255</w:t>
            </w:r>
          </w:p>
        </w:tc>
      </w:tr>
      <w:tr>
        <w:trPr>
          <w:trHeight w:val="20"/>
        </w:trPr>
        <w:tc>
          <w:tcPr>
            <w:tcW w:w="12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recognition of the unrecognized tax benefits would have a favorable effect on the effective tax rate. Due to the uncertainty of both timing and resolution of income tax examinations, the Company is unable to determine whether any amounts included in the December 31, 2018 balance of unrecognized tax benefits represent tax positions that could significantly change during the next twelve months. The unrecognized tax benefits are recorded as a component of Other liabilities in the Consolidated Balance Sheets. Interest and penalties related to unrecognized tax benefits are recorded as a component of income tax expense.</w:t>
      </w:r>
    </w:p>
    <w:p>
      <w:pPr>
        <w:spacing w:after="0" w:line="188"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The Company and its subsidiaries are subject to U.S. federal income tax as well as income tax of multiple state and foreign jurisdictions. As of December 31, 2018, the Company was subject to U.S federal income tax examinations for the years 2015 through 2017 and income tax examinations from various other jurisdictions for the years 2011 through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Note 12 - Accrued Expenses and Other Liabilities</w:t>
            </w:r>
          </w:p>
        </w:tc>
        <w:tc>
          <w:tcPr>
            <w:tcW w:w="2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20" w:type="dxa"/>
            <w:vAlign w:val="bottom"/>
          </w:tcPr>
          <w:p>
            <w:pPr>
              <w:ind w:left="320"/>
              <w:spacing w:after="0"/>
              <w:rPr>
                <w:sz w:val="20"/>
                <w:szCs w:val="20"/>
                <w:color w:val="auto"/>
              </w:rPr>
            </w:pPr>
            <w:r>
              <w:rPr>
                <w:rFonts w:ascii="Arial" w:cs="Arial" w:eastAsia="Arial" w:hAnsi="Arial"/>
                <w:sz w:val="18"/>
                <w:szCs w:val="18"/>
                <w:color w:val="auto"/>
                <w:w w:val="97"/>
              </w:rPr>
              <w:t>Accrued expenses and other liabilities consisted of the following:</w:t>
            </w: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color w:val="auto"/>
              </w:rPr>
              <w:t>(Dollars in thousands)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w w:val="99"/>
              </w:rPr>
              <w:t>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32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3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10,740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9,044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stock-based compensation (stock performance rights)</w:t>
            </w:r>
          </w:p>
        </w:tc>
        <w:tc>
          <w:tcPr>
            <w:tcW w:w="2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Accrued and withheld taxes, other than income taxes</w:t>
            </w:r>
          </w:p>
        </w:tc>
        <w:tc>
          <w:tcPr>
            <w:tcW w:w="2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remediation accrual</w:t>
            </w:r>
          </w:p>
        </w:tc>
        <w:tc>
          <w:tcPr>
            <w:tcW w:w="2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Financing lease obligation</w:t>
            </w:r>
          </w:p>
        </w:tc>
        <w:tc>
          <w:tcPr>
            <w:tcW w:w="2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profit sharing</w:t>
            </w:r>
          </w:p>
        </w:tc>
        <w:tc>
          <w:tcPr>
            <w:tcW w:w="2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health benefits</w:t>
            </w:r>
          </w:p>
        </w:tc>
        <w:tc>
          <w:tcPr>
            <w:tcW w:w="2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Accrued severance</w:t>
            </w:r>
          </w:p>
        </w:tc>
        <w:tc>
          <w:tcPr>
            <w:tcW w:w="2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9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40,179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33,040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980" w:type="dxa"/>
            <w:vAlign w:val="bottom"/>
            <w:vMerge w:val="restart"/>
          </w:tcPr>
          <w:p>
            <w:pPr>
              <w:jc w:val="right"/>
              <w:ind w:right="2430"/>
              <w:spacing w:after="0"/>
              <w:rPr>
                <w:sz w:val="20"/>
                <w:szCs w:val="20"/>
                <w:color w:val="auto"/>
              </w:rPr>
            </w:pPr>
            <w:r>
              <w:rPr>
                <w:rFonts w:ascii="Arial" w:cs="Arial" w:eastAsia="Arial" w:hAnsi="Arial"/>
                <w:sz w:val="18"/>
                <w:szCs w:val="18"/>
                <w:color w:val="auto"/>
              </w:rPr>
              <w:t>46</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98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Loan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Lawson Loan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2012, the Company entered into a Loan and Security Agreement (“Loan Agreement”) with CIBC Bank USA, formerly known as The PrivateBank and Trust Company. The Loan Agreement consists of a $40.0 million revolving line of credit facility, which includes a $10.0 million sub-facility for letters of credit. Certain terms of the original Loan Agreement were revised in December 2013 and in September 2016. The Loan Agreement, as amended, expires in August 2020. Due to the lock box arrangement and a subjective acceleration clause contained in the Loan Agreement, any outstanding borrowings under the revolving line of credit are classified as a current liability.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Credit available under the Loan Agreement is based upon:</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85% of the face amount of the Company’s eligible accounts receivable, generally less than 60 days past due,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lesser of 60% of the lower of cost or market value of the Company’s eligible inventory, generally inventory expected to be sold within 18 months, or $20.0 million.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applicable interest rates for borrowings are the Prime rate or, if the Company elects, the LIBOR rate plus 1.50% to 1.85% based on the Company’s debt to EBITDA ratio, as defined in the amended Loan Agreement. The Loan Agreement is secured by a first priority perfected security interest in substantially all existing assets of the Company. Dividends are restricted so as not to exceed $7.0 million annually.</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2018, the Company had $9.0 million outstanding balance under its revolving line of credit facility and additional borrowing availability of $27.7 million. The carrying amount of the Company’s debt at December 31, 2018 approximates its fair value. The Company paid interest of $1.0 million and $0.6 million in 2018 and 2017 respectively. The weighted average interest rate was 3.9% in 2018. The Company had $1.5 million of outstanding letters of credit as of December 31, 2018.</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other customary representations, warranties and covenants, and if the excess capacity is below $10.0 million, the Company is required to meet a minimum trailing twelve month EBITDA to fixed charges ratio, as defined in the amended Loan Agreement. On December 31, 2018, the Company's borrowing capacity exceeded $10.0 million, therefore, the Company was not subject to these financial covenants. For informational purposes, the results of the financial covenant is provided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Quarterly Financial Covenants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Requirement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Actual</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 to fixed charges ratio</w:t>
            </w:r>
          </w:p>
        </w:tc>
        <w:tc>
          <w:tcPr>
            <w:tcW w:w="1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1.10 : 1.00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3.46 : 1.00</w:t>
            </w:r>
          </w:p>
        </w:tc>
      </w:tr>
      <w:tr>
        <w:trPr>
          <w:trHeight w:val="432"/>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The Company was in compliance with all covenants as of December 31, 2018.</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 Letter</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Bolt has a Commitment Letter with BMO Bank of Montreal ("BMO") dated March 30, 2017 which allows Bolt to access up to $5.5 million Canadian dollars in the form of either an overdraft facility or as commercial letters of credit. The Commitment Letter is cancellable at any time at BMOs sole discretion and is secured by substantially all of Bolt’s assets. It carries an interest rate of the bank's prime rate plus 0.25%. At December 31, 2018, Bolt had $2.4 million Canadian dollars of outstanding borrowings and remaining borrowing availability of $3.1 million Canadian dollars. The Commitment Letter is subject to a working capital ratio of 1.35:1, a maximum ratio of debt to tangible net worth of 2.5:1 of the Bolt assets and Debt Service Coverage Ratio 1.25:1 as defined in the Commitment Letter. At December 31, 2018, Bolt was in compliance with all covenants which are subject to periodic review, at least annually, with the next review due by August 31, 2019.</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Note 14 – Reserve for Severance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Severance costs are primarily related to management realignment and reorganization. The table below reflects the activity in the Company’s reserve for severance and related payments.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2500" w:type="dxa"/>
            <w:vAlign w:val="bottom"/>
            <w:gridSpan w:val="4"/>
          </w:tcPr>
          <w:p>
            <w:pPr>
              <w:jc w:val="right"/>
              <w:ind w:right="50"/>
              <w:spacing w:after="0"/>
              <w:rPr>
                <w:sz w:val="20"/>
                <w:szCs w:val="20"/>
                <w:color w:val="auto"/>
              </w:rPr>
            </w:pPr>
            <w:r>
              <w:rPr>
                <w:rFonts w:ascii="Arial" w:cs="Arial" w:eastAsia="Arial" w:hAnsi="Arial"/>
                <w:sz w:val="18"/>
                <w:szCs w:val="18"/>
                <w:color w:val="auto"/>
              </w:rPr>
              <w:t>(Dollars in thousands)</w:t>
            </w:r>
          </w:p>
        </w:tc>
        <w:tc>
          <w:tcPr>
            <w:tcW w:w="580" w:type="dxa"/>
            <w:vAlign w:val="bottom"/>
          </w:tcPr>
          <w:p>
            <w:pPr>
              <w:spacing w:after="0"/>
              <w:rPr>
                <w:sz w:val="20"/>
                <w:szCs w:val="20"/>
                <w:color w:val="auto"/>
              </w:rPr>
            </w:pPr>
          </w:p>
        </w:tc>
      </w:tr>
      <w:tr>
        <w:trPr>
          <w:trHeight w:val="270"/>
        </w:trPr>
        <w:tc>
          <w:tcPr>
            <w:tcW w:w="8340" w:type="dxa"/>
            <w:vAlign w:val="bottom"/>
          </w:tcPr>
          <w:p>
            <w:pPr>
              <w:spacing w:after="0"/>
              <w:rPr>
                <w:sz w:val="23"/>
                <w:szCs w:val="23"/>
                <w:color w:val="auto"/>
              </w:rPr>
            </w:pPr>
          </w:p>
        </w:tc>
        <w:tc>
          <w:tcPr>
            <w:tcW w:w="2500" w:type="dxa"/>
            <w:vAlign w:val="bottom"/>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58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470"/>
              <w:spacing w:after="0"/>
              <w:rPr>
                <w:sz w:val="20"/>
                <w:szCs w:val="20"/>
                <w:color w:val="auto"/>
              </w:rPr>
            </w:pPr>
            <w:r>
              <w:rPr>
                <w:rFonts w:ascii="Arial" w:cs="Arial" w:eastAsia="Arial" w:hAnsi="Arial"/>
                <w:sz w:val="18"/>
                <w:szCs w:val="18"/>
                <w:color w:val="auto"/>
              </w:rPr>
              <w:t>2017</w:t>
            </w:r>
          </w:p>
        </w:tc>
      </w:tr>
      <w:tr>
        <w:trPr>
          <w:trHeight w:val="27"/>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Charged to earnings</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738</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paid</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(1,965)</w:t>
            </w:r>
          </w:p>
        </w:tc>
      </w:tr>
      <w:tr>
        <w:trPr>
          <w:trHeight w:val="257"/>
        </w:trPr>
        <w:tc>
          <w:tcPr>
            <w:tcW w:w="8340" w:type="dxa"/>
            <w:vAlign w:val="bottom"/>
          </w:tcPr>
          <w:p>
            <w:pPr>
              <w:ind w:left="360"/>
              <w:spacing w:after="0"/>
              <w:rPr>
                <w:sz w:val="20"/>
                <w:szCs w:val="20"/>
                <w:color w:val="auto"/>
              </w:rPr>
            </w:pPr>
            <w:r>
              <w:rPr>
                <w:rFonts w:ascii="Arial" w:cs="Arial" w:eastAsia="Arial" w:hAnsi="Arial"/>
                <w:sz w:val="18"/>
                <w:szCs w:val="18"/>
                <w:color w:val="auto"/>
              </w:rPr>
              <w:t>Ending balance</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483</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color w:val="auto"/>
        </w:rPr>
        <w:t>The majority of remaining severance liabilities outstanding as of December 31, 2018 will be paid by the end of 2019, and are included in accrued expenses and other liabilities on the accompanying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rental expense for the years ended December 31, 2018 and 2017 amounted to $3.3 million and $2.6 million, respectively. Of the $10.8 million future minimum operating lease commitments outstanding at December 31, 2018, $4.0 million relates to a lease for the Company's headquarters which expires in March 2023. The lease commitment is partially offset by a portion of the headquarters that has been sub-leased through June 2019 and includes total future minimum lease proceeds of less than $0.1 million.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a financing lease for the McCook Facility which expires in June 2022 and includes future minimum lease payments, related to the building, of $5.1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future minimum lease commitments, principally for facilities and equipment, as of December 31, 2018,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(Dollars in thousands)</w:t>
            </w: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6"/>
        </w:trPr>
        <w:tc>
          <w:tcPr>
            <w:tcW w:w="5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22"/>
                <w:szCs w:val="22"/>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Financing</w:t>
            </w:r>
          </w:p>
        </w:tc>
        <w:tc>
          <w:tcPr>
            <w:tcW w:w="380" w:type="dxa"/>
            <w:vAlign w:val="bottom"/>
          </w:tcPr>
          <w:p>
            <w:pPr>
              <w:spacing w:after="0"/>
              <w:rPr>
                <w:sz w:val="22"/>
                <w:szCs w:val="22"/>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color w:val="auto"/>
              </w:rPr>
              <w:t>Capital</w:t>
            </w:r>
          </w:p>
        </w:tc>
      </w:tr>
      <w:tr>
        <w:trPr>
          <w:trHeight w:val="230"/>
        </w:trPr>
        <w:tc>
          <w:tcPr>
            <w:tcW w:w="5740" w:type="dxa"/>
            <w:vAlign w:val="bottom"/>
            <w:gridSpan w:val="2"/>
          </w:tcPr>
          <w:p>
            <w:pPr>
              <w:ind w:left="1880"/>
              <w:spacing w:after="0"/>
              <w:rPr>
                <w:sz w:val="20"/>
                <w:szCs w:val="20"/>
                <w:color w:val="auto"/>
              </w:rPr>
            </w:pPr>
            <w:r>
              <w:rPr>
                <w:rFonts w:ascii="Arial" w:cs="Arial" w:eastAsia="Arial" w:hAnsi="Arial"/>
                <w:sz w:val="18"/>
                <w:szCs w:val="18"/>
                <w:color w:val="auto"/>
              </w:rPr>
              <w:t>Year ended December 31,</w:t>
            </w:r>
          </w:p>
        </w:tc>
        <w:tc>
          <w:tcPr>
            <w:tcW w:w="320" w:type="dxa"/>
            <w:vAlign w:val="bottom"/>
          </w:tcPr>
          <w:p>
            <w:pPr>
              <w:spacing w:after="0"/>
              <w:rPr>
                <w:sz w:val="20"/>
                <w:szCs w:val="20"/>
                <w:color w:val="auto"/>
              </w:rPr>
            </w:pPr>
          </w:p>
        </w:tc>
        <w:tc>
          <w:tcPr>
            <w:tcW w:w="1600" w:type="dxa"/>
            <w:vAlign w:val="bottom"/>
            <w:gridSpan w:val="2"/>
          </w:tcPr>
          <w:p>
            <w:pPr>
              <w:ind w:left="380"/>
              <w:spacing w:after="0"/>
              <w:rPr>
                <w:sz w:val="20"/>
                <w:szCs w:val="20"/>
                <w:color w:val="auto"/>
              </w:rPr>
            </w:pPr>
            <w:r>
              <w:rPr>
                <w:rFonts w:ascii="Arial" w:cs="Arial" w:eastAsia="Arial" w:hAnsi="Arial"/>
                <w:sz w:val="18"/>
                <w:szCs w:val="18"/>
                <w:color w:val="auto"/>
              </w:rPr>
              <w:t>Leases</w:t>
            </w:r>
          </w:p>
        </w:tc>
        <w:tc>
          <w:tcPr>
            <w:tcW w:w="120" w:type="dxa"/>
            <w:vAlign w:val="bottom"/>
          </w:tcPr>
          <w:p>
            <w:pPr>
              <w:spacing w:after="0"/>
              <w:rPr>
                <w:sz w:val="20"/>
                <w:szCs w:val="20"/>
                <w:color w:val="auto"/>
              </w:rPr>
            </w:pPr>
          </w:p>
        </w:tc>
        <w:tc>
          <w:tcPr>
            <w:tcW w:w="1820" w:type="dxa"/>
            <w:vAlign w:val="bottom"/>
            <w:gridSpan w:val="2"/>
          </w:tcPr>
          <w:p>
            <w:pPr>
              <w:ind w:left="640"/>
              <w:spacing w:after="0"/>
              <w:rPr>
                <w:sz w:val="20"/>
                <w:szCs w:val="20"/>
                <w:color w:val="auto"/>
              </w:rPr>
            </w:pPr>
            <w:r>
              <w:rPr>
                <w:rFonts w:ascii="Arial" w:cs="Arial" w:eastAsia="Arial" w:hAnsi="Arial"/>
                <w:sz w:val="18"/>
                <w:szCs w:val="18"/>
                <w:color w:val="auto"/>
              </w:rPr>
              <w:t>Lease</w:t>
            </w:r>
          </w:p>
        </w:tc>
        <w:tc>
          <w:tcPr>
            <w:tcW w:w="38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color w:val="auto"/>
              </w:rPr>
              <w:t>Leases</w:t>
            </w:r>
          </w:p>
        </w:tc>
      </w:tr>
      <w:tr>
        <w:trPr>
          <w:trHeight w:val="27"/>
        </w:trPr>
        <w:tc>
          <w:tcPr>
            <w:tcW w:w="5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2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74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10,804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5,092</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2018, the cost and accumulated depreciation of the asset related to the financing lease were $13.0 million and $8.5 million, respectively, and the cost and accumulated amortization of the assets related to capital leases were $0.7 million and $0.3 million, respectively. The Company will adopt ASU 2016-02 on January 1, 2019. See Note 4 - Leases for a further description.</w:t>
      </w:r>
    </w:p>
    <w:p>
      <w:pPr>
        <w:spacing w:after="0" w:line="15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the first quarter of 2012, the Company signed a 10 year agreement to lease space for a new corporate headquarters in Chicago, Illinois ("Lease"). In the fourth quarter of 2013, due to excess capacity as a result of a corporate restructuring, the Company agreed to sublease a portion (approximately 17,100 square feet) of its corporate headquarters to a third party ("Sublease"). Both the Lease and the Sublease were scheduled to terminate in the first quarter of 2023.</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2018, the Company entered into agreements with the lessor and the sub-lessee to terminate both the Lease and Sublease in June 2019. The original loss recorded on the Sublease was reduced by $0.7 million in the second quarter of 2018 to reflect the shortened lease time frame. Additionally, the Company is required to pay a $0.5 million cancellation fee before June 2019 as a condition of early termination of the original Lease. As a result of these transactions, a $0.2 million net gain was recognized in 2018. The $0.5 million early termination fee is included in current liabilities in the condensed consolidated balance sheet. The termination of the Lease reduced the Company’s future operating lease obligation by $1.2 million, offset by a reduction in future payments from the Sublease of $0.4 million. The accounting for the lease termination will not be impacted by the adoption of ASU 2016-09.</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Litigation, regulatory and tax matters</w:t>
      </w:r>
    </w:p>
    <w:p>
      <w:pPr>
        <w:spacing w:after="0" w:line="198" w:lineRule="exact"/>
        <w:rPr>
          <w:sz w:val="20"/>
          <w:szCs w:val="20"/>
          <w:color w:val="auto"/>
        </w:rPr>
      </w:pPr>
    </w:p>
    <w:p>
      <w:pPr>
        <w:jc w:val="both"/>
        <w:ind w:firstLine="455"/>
        <w:spacing w:after="0" w:line="308" w:lineRule="auto"/>
        <w:rPr>
          <w:sz w:val="20"/>
          <w:szCs w:val="20"/>
          <w:color w:val="auto"/>
        </w:rPr>
      </w:pPr>
      <w:r>
        <w:rPr>
          <w:rFonts w:ascii="Arial" w:cs="Arial" w:eastAsia="Arial" w:hAnsi="Arial"/>
          <w:sz w:val="17"/>
          <w:szCs w:val="17"/>
          <w:color w:val="auto"/>
        </w:rPr>
        <w:t>The Company is involved in legal actions that arise in the ordinary course of business. It is the opinion of management that the resolution of any currently pending litigation will not have a material adverse effect on the Company’s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Environmental matter</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2012, the Company identified that a site it owns in Decatur, Alabama, contains hazardous substances in the soil and groundwater as a result of historical operations prior to the Company's ownership. The Company retained an environmental consulting firm to further investigate the contamination including the measurement and monitoring of the site and the site was enrolled in the Alabama Department of Environmental Management (“ADEM") voluntary cleanup program.</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2017 the Company received estimates from its environmental consulting firm for two remediation solutions based on a chemical injection process. The first solution would consist of chemical injections throughout the entire site to directly eliminate the hazardous substances in the soil and groundwater. The second solution would consist of chemical injections around the perimeter of the site to prevent the migration of the hazardous chemicals off-site. Neither solution would require additional excavation or repairs to be made to the property. Additionally, the estimated required monitoring period would be substantially reduced. The estimated expenditures over an 18 month period under the two injection scenarios ranged from $0.9 million to $2.0 million.</w:t>
      </w:r>
    </w:p>
    <w:p>
      <w:pPr>
        <w:spacing w:after="0" w:line="15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2018, the Company received updated environmental remediation estimates from its environmental consulting firm based on information analyzed from further data collection and consultation with ADEM on their anticipated requirements. The updated remediation plan expands the chemical injection process over a larger area than previously estimated, including under the building on the property. The updated plan also requires three consecutive measurement periods of monitoring the affected area after the injection process is completed. Based upon feedback received from ADEM, the Company accrued an additional $0.5 million of expense in 2018 to bring the total liability to $1.4 million which represents the Company's best estimate of the most likely outcome. The plan was approved by ADEM in the fourth quarter of 2018 and work commenced in the first quarter of 2019. The Company believes the environmental remediation liability of $1.4 million classified as Accrued expenses and other liabilities on the accompanying Consolidated Balance Sheet will be sufficient to cover the cost of the plan. The Company does not expect to capitalize any amounts related to the remediation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Retirement and Security Bonus Plans</w:t>
      </w:r>
    </w:p>
    <w:p>
      <w:pPr>
        <w:spacing w:after="0" w:line="229"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color w:val="auto"/>
        </w:rPr>
        <w:t>The Company provides a 401(k) defined contribution plan to allow employees a pre-tax investment vehicle to save for retirement. The Company made contributions to the 401(k) plan of $3.0 million and $3.1 million for the years ended December 31, 2018 and 2017, respectively.</w:t>
      </w:r>
    </w:p>
    <w:p>
      <w:pPr>
        <w:spacing w:after="0" w:line="170"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The Company provides a Deferred Profit Savings Plan ("DPSP") for certain Canadian employees and a Registered Retirement Savings Plan ("RRSP") for other Canadian employees. Both are deferred defined contribution retirement investment plans. The Company contributed $0.3 million and $0.3 million in 2018 and 2017, respectively.</w:t>
      </w:r>
    </w:p>
    <w:p>
      <w:pPr>
        <w:spacing w:after="0" w:line="181"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The Company provides a profit sharing plan for certain sales, office and warehouse employees. The amounts of the Company’s annual contributions are determined annually by the Board of Directors. Expenses incurred for the profit sharing plan were $0.7 million and $0.7 million for the years ended December 31, 2018 and 2017, respectively.</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a security bonus plan which was previously created for the benefit of its independent sales representatives, under the terms of which participants are credited with a percentage of their annual net commissions. The aggregate amounts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jc w:val="both"/>
        <w:spacing w:after="0" w:line="293" w:lineRule="auto"/>
        <w:rPr>
          <w:sz w:val="20"/>
          <w:szCs w:val="20"/>
          <w:color w:val="auto"/>
        </w:rPr>
      </w:pPr>
      <w:r>
        <w:rPr>
          <w:rFonts w:ascii="Arial" w:cs="Arial" w:eastAsia="Arial" w:hAnsi="Arial"/>
          <w:sz w:val="16"/>
          <w:szCs w:val="16"/>
          <w:color w:val="auto"/>
        </w:rPr>
        <w:t>credited to participants’ accounts vest 25% after five years, and an additional 5% vests each year thereafter upon qualification for the plan. On January 1, 2013, the Company converted all of its U.S. independent sales representatives to employees. The security bonus for those converted employees continue to vest, but their accounts are no longer credited with a percentage of net commissions. For financial reporting purposes, amounts are charged to operations over the vesting period. Expenses incurred for the security bonus plan were $0.6 million and $0.5 million for the years ended December 31, 2018 and 2017, respectively. The security bonus plan is partially funded by a $5.6 million investment in the cash surrender value in life insurance of certain employees. Of the $12.8 million total liability, $0.4 million is classified as a current liability and the remaining $12.4 million is classified as long-term.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Stock-Based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Administration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Amended and Restated 2009 Equity Compensation Plan (“Equity Plan”) provides for the grant of nonqualified and incentive stock options, stock awards and stock units to officers and employees of the Company. The Equity Plan also provides for the grant of option rights and restricted stock to non-employee directors. As of December 31, 2018, the Company had approximately 96,000 shares of common stock still available under the Equity Plan. Non-employee directors are limited to grants of no more than 20,000 shares of common stock in any calendar year and other than non-employee directors are limited to grants of no more than 125,000 shares of common stock in any calendar year. The Equity Plan is administered by the Compensation Committee of the Board of Directors, or its designee, which as administrator of the plan, has the authority to select plan participants, grant awards, and determine the terms and conditions of the awards.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also has a Stock Performance Rights Plan (“SPR Plan”) that provides for the issuance of Stock Performance Rights (“SPRs”) that allow non-employee directors, officers and key employees to receive cash awards, subject to certain restrictions, equal to the appreciation of the Company's common stock. The SPR Plan is administered by the Compensation Committee of the Board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Performance Rights</w:t>
      </w:r>
    </w:p>
    <w:p>
      <w:pPr>
        <w:spacing w:after="0" w:line="252"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SPRs entitle the recipient to receive a cash payment equal to the excess of the market value of the Company's common stock over the SPR exercise price when the SPRs are surrendered. Expense, equal to the fair market value of the SPR at the date of grant and remeasured each reporting period, is recorded ratably over the vesting period. Compensation expense or benefit is included in General and administrative expense. A majority of the outstanding SPRs have a seven to ten year life and vest over one to three years beginning on the first anniversary of the date of the grant.</w:t>
      </w:r>
    </w:p>
    <w:p>
      <w:pPr>
        <w:spacing w:after="0" w:line="17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On December 31, 2018, the SPRs outstanding were re-measured at fair value using the Black-Scholes valuation model. This model requires the input of subjective assumptions that may have a significant impact on the fair value estimate. The weighted-average estimated value of SPRs outstanding as of December 31, 2018 was $14.96 per SPR using the following assumptions: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 to</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42.7%</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Risk-free rate of return</w:t>
            </w:r>
          </w:p>
        </w:tc>
        <w:tc>
          <w:tcPr>
            <w:tcW w:w="4680" w:type="dxa"/>
            <w:vAlign w:val="bottom"/>
          </w:tcPr>
          <w:p>
            <w:pPr>
              <w:jc w:val="right"/>
              <w:spacing w:after="0"/>
              <w:rPr>
                <w:sz w:val="20"/>
                <w:szCs w:val="20"/>
                <w:color w:val="auto"/>
              </w:rPr>
            </w:pPr>
            <w:r>
              <w:rPr>
                <w:rFonts w:ascii="Arial" w:cs="Arial" w:eastAsia="Arial" w:hAnsi="Arial"/>
                <w:sz w:val="18"/>
                <w:szCs w:val="18"/>
                <w:color w:val="auto"/>
              </w:rPr>
              <w:t>2.5% to</w:t>
            </w:r>
          </w:p>
        </w:tc>
        <w:tc>
          <w:tcPr>
            <w:tcW w:w="860" w:type="dxa"/>
            <w:vAlign w:val="bottom"/>
          </w:tcPr>
          <w:p>
            <w:pPr>
              <w:spacing w:after="0"/>
              <w:rPr>
                <w:sz w:val="20"/>
                <w:szCs w:val="20"/>
                <w:color w:val="auto"/>
              </w:rPr>
            </w:pPr>
            <w:r>
              <w:rPr>
                <w:rFonts w:ascii="Arial" w:cs="Arial" w:eastAsia="Arial" w:hAnsi="Arial"/>
                <w:sz w:val="18"/>
                <w:szCs w:val="18"/>
                <w:color w:val="auto"/>
              </w:rPr>
              <w:t>2.6%</w:t>
            </w:r>
          </w:p>
        </w:tc>
      </w:tr>
      <w:tr>
        <w:trPr>
          <w:trHeight w:val="27"/>
        </w:trPr>
        <w:tc>
          <w:tcPr>
            <w:tcW w:w="58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4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to</w:t>
            </w:r>
          </w:p>
        </w:tc>
        <w:tc>
          <w:tcPr>
            <w:tcW w:w="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4.5</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Expected annual dividend</w:t>
            </w:r>
          </w:p>
        </w:tc>
        <w:tc>
          <w:tcPr>
            <w:tcW w:w="468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1"/>
                <w:szCs w:val="2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expected volatility was based on the historic volatility of the Company's stock price commensurate with the expected life of the SPR. The risk-free rate of return reflects the interest rate offered for zero coupon treasury bonds over the expected life of the SPR. The expected life represents the period of time that options granted are expected to be outstanding and was calculated using the simplified method allowed by the SEC. The estimated annual dividend was based on the recent dividend payout trend.</w:t>
      </w:r>
    </w:p>
    <w:p>
      <w:pPr>
        <w:spacing w:after="0" w:line="187"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Compensation expense of $4.8 million and $1.2 million was recorded for the years ended December 31, 2018 and 2017, respectively. Cash in the amount of $0.1 million and $0.3 million and was paid out for SPR exercises in 2018 and 2017, respectively. A liability of $13.5 million reflecting the estimated fair value of future pay-outs has been included as a component of Accrued expenses and other liabilities on the consolidated balance sheets.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8"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76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696"/>
        </w:trPr>
        <w:tc>
          <w:tcPr>
            <w:tcW w:w="7660" w:type="dxa"/>
            <w:vAlign w:val="bottom"/>
            <w:gridSpan w:val="2"/>
          </w:tcPr>
          <w:p>
            <w:pPr>
              <w:ind w:left="340"/>
              <w:spacing w:after="0"/>
              <w:rPr>
                <w:sz w:val="20"/>
                <w:szCs w:val="20"/>
                <w:color w:val="auto"/>
              </w:rPr>
            </w:pPr>
            <w:r>
              <w:rPr>
                <w:rFonts w:ascii="Arial" w:cs="Arial" w:eastAsia="Arial" w:hAnsi="Arial"/>
                <w:sz w:val="18"/>
                <w:szCs w:val="18"/>
                <w:color w:val="auto"/>
                <w:w w:val="93"/>
              </w:rPr>
              <w:t>Activity related to the Company’s SPRs during the year ended December 31, 2018 was as follows:</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4"/>
        </w:trPr>
        <w:tc>
          <w:tcPr>
            <w:tcW w:w="12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color w:val="auto"/>
                <w:w w:val="93"/>
              </w:rPr>
              <w:t>Weighted Average</w:t>
            </w:r>
          </w:p>
        </w:tc>
      </w:tr>
      <w:tr>
        <w:trPr>
          <w:trHeight w:val="230"/>
        </w:trPr>
        <w:tc>
          <w:tcPr>
            <w:tcW w:w="12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rPr>
              <w:t>Number of SPRs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Exercise Price</w:t>
            </w:r>
          </w:p>
        </w:tc>
      </w:tr>
      <w:tr>
        <w:trPr>
          <w:trHeight w:val="27"/>
        </w:trPr>
        <w:tc>
          <w:tcPr>
            <w:tcW w:w="128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on December 31, 2017</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961,554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w:t>
            </w: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44,737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24.70</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22.16</w:t>
            </w: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Cancelled</w:t>
            </w:r>
          </w:p>
        </w:tc>
        <w:tc>
          <w:tcPr>
            <w:tcW w:w="1820" w:type="dxa"/>
            <w:vAlign w:val="bottom"/>
          </w:tcPr>
          <w:p>
            <w:pPr>
              <w:jc w:val="right"/>
              <w:spacing w:after="0"/>
              <w:rPr>
                <w:sz w:val="20"/>
                <w:szCs w:val="20"/>
                <w:color w:val="auto"/>
              </w:rPr>
            </w:pPr>
            <w:r>
              <w:rPr>
                <w:rFonts w:ascii="Arial" w:cs="Arial" w:eastAsia="Arial" w:hAnsi="Arial"/>
                <w:sz w:val="18"/>
                <w:szCs w:val="18"/>
                <w:color w:val="auto"/>
              </w:rPr>
              <w:t>(34,500)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25.52</w:t>
            </w:r>
          </w:p>
        </w:tc>
      </w:tr>
      <w:tr>
        <w:trPr>
          <w:trHeight w:val="27"/>
        </w:trPr>
        <w:tc>
          <w:tcPr>
            <w:tcW w:w="128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57"/>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on December 31, 2018</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958,521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w:t>
            </w:r>
          </w:p>
        </w:tc>
      </w:tr>
      <w:tr>
        <w:trPr>
          <w:trHeight w:val="20"/>
        </w:trPr>
        <w:tc>
          <w:tcPr>
            <w:tcW w:w="12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84"/>
        </w:trPr>
        <w:tc>
          <w:tcPr>
            <w:tcW w:w="12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64"/>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Exercisable on December 31, 2018</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848,503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19.11</w:t>
            </w:r>
          </w:p>
        </w:tc>
      </w:tr>
      <w:tr>
        <w:trPr>
          <w:trHeight w:val="20"/>
        </w:trPr>
        <w:tc>
          <w:tcPr>
            <w:tcW w:w="12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SPRs outstanding had an intrinsic value of $11.5 million as of December 31, 2018. Unrecognized compensation cost related to non-vested SPRs was $0.8 million at December 31, 2018, which will be recognized over a weighted average period of 1.6 years. During the year ended December 31, 2018, 193,835 SPRs with a fair value of $2.0 million vested. At December 31, 2018, the weighted average remaining contractual term was 3.6 years for all outstanding SPRs and 3.3 years for all exercisable SPRs.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Restricted stock awards ("RSAs") generally vest over a one to three year period beginning on the first anniversary of the date of the grant. Upon vesting, the vested restricted stock awards are exchanged for an equal number of the Company’s common stock. The participants have no voting or dividend rights with the restricted stock awards. The restricted stock awards are valued at the closing price of the common stock on the date of grant and the expense is recorded ratably over the vesting period.</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Compensation expense of $1.4 million and $0.9 million related to the RSAs was recorded in General and administrative expenses for 2018 and 2017, respectively. Activity related to the Company’s RSAs during the year ended December 31, 2018 was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Pr>
          <w:p>
            <w:pPr>
              <w:spacing w:after="0"/>
              <w:rPr>
                <w:sz w:val="18"/>
                <w:szCs w:val="18"/>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Restricted Stock</w:t>
            </w:r>
          </w:p>
        </w:tc>
      </w:tr>
      <w:tr>
        <w:trPr>
          <w:trHeight w:val="230"/>
        </w:trPr>
        <w:tc>
          <w:tcPr>
            <w:tcW w:w="9600" w:type="dxa"/>
            <w:vAlign w:val="bottom"/>
          </w:tcPr>
          <w:p>
            <w:pPr>
              <w:spacing w:after="0"/>
              <w:rPr>
                <w:sz w:val="20"/>
                <w:szCs w:val="20"/>
                <w:color w:val="auto"/>
              </w:rPr>
            </w:pPr>
          </w:p>
        </w:tc>
        <w:tc>
          <w:tcPr>
            <w:tcW w:w="1820" w:type="dxa"/>
            <w:vAlign w:val="bottom"/>
          </w:tcPr>
          <w:p>
            <w:pPr>
              <w:jc w:val="right"/>
              <w:ind w:right="550"/>
              <w:spacing w:after="0"/>
              <w:rPr>
                <w:sz w:val="20"/>
                <w:szCs w:val="20"/>
                <w:color w:val="auto"/>
              </w:rPr>
            </w:pPr>
            <w:r>
              <w:rPr>
                <w:rFonts w:ascii="Arial" w:cs="Arial" w:eastAsia="Arial" w:hAnsi="Arial"/>
                <w:sz w:val="18"/>
                <w:szCs w:val="18"/>
                <w:color w:val="auto"/>
              </w:rPr>
              <w:t>Awards</w:t>
            </w:r>
          </w:p>
        </w:tc>
      </w:tr>
      <w:tr>
        <w:trPr>
          <w:trHeight w:val="27"/>
        </w:trPr>
        <w:tc>
          <w:tcPr>
            <w:tcW w:w="96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Outstanding on December 31, 2017</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104,920</w:t>
            </w:r>
          </w:p>
        </w:tc>
      </w:tr>
      <w:tr>
        <w:trPr>
          <w:trHeight w:val="27"/>
        </w:trPr>
        <w:tc>
          <w:tcPr>
            <w:tcW w:w="96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82,722</w:t>
            </w:r>
          </w:p>
        </w:tc>
      </w:tr>
      <w:tr>
        <w:trPr>
          <w:trHeight w:val="243"/>
        </w:trPr>
        <w:tc>
          <w:tcPr>
            <w:tcW w:w="9600" w:type="dxa"/>
            <w:vAlign w:val="bottom"/>
          </w:tcPr>
          <w:p>
            <w:pPr>
              <w:ind w:left="220"/>
              <w:spacing w:after="0"/>
              <w:rPr>
                <w:sz w:val="20"/>
                <w:szCs w:val="20"/>
                <w:color w:val="auto"/>
              </w:rPr>
            </w:pPr>
            <w:r>
              <w:rPr>
                <w:rFonts w:ascii="Arial" w:cs="Arial" w:eastAsia="Arial" w:hAnsi="Arial"/>
                <w:sz w:val="18"/>
                <w:szCs w:val="18"/>
                <w:color w:val="auto"/>
              </w:rPr>
              <w:t>Canceled</w:t>
            </w:r>
          </w:p>
        </w:tc>
        <w:tc>
          <w:tcPr>
            <w:tcW w:w="1820" w:type="dxa"/>
            <w:vAlign w:val="bottom"/>
          </w:tcPr>
          <w:p>
            <w:pPr>
              <w:jc w:val="right"/>
              <w:spacing w:after="0"/>
              <w:rPr>
                <w:sz w:val="20"/>
                <w:szCs w:val="20"/>
                <w:color w:val="auto"/>
              </w:rPr>
            </w:pPr>
            <w:r>
              <w:rPr>
                <w:rFonts w:ascii="Arial" w:cs="Arial" w:eastAsia="Arial" w:hAnsi="Arial"/>
                <w:sz w:val="18"/>
                <w:szCs w:val="18"/>
                <w:color w:val="auto"/>
              </w:rPr>
              <w:t>(31,776)</w:t>
            </w:r>
          </w:p>
        </w:tc>
      </w:tr>
      <w:tr>
        <w:trPr>
          <w:trHeight w:val="27"/>
        </w:trPr>
        <w:tc>
          <w:tcPr>
            <w:tcW w:w="96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Exchanged for shares</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(36,610)</w:t>
            </w:r>
          </w:p>
        </w:tc>
      </w:tr>
      <w:tr>
        <w:trPr>
          <w:trHeight w:val="257"/>
        </w:trPr>
        <w:tc>
          <w:tcPr>
            <w:tcW w:w="9600" w:type="dxa"/>
            <w:vAlign w:val="bottom"/>
          </w:tcPr>
          <w:p>
            <w:pPr>
              <w:ind w:left="40"/>
              <w:spacing w:after="0"/>
              <w:rPr>
                <w:sz w:val="20"/>
                <w:szCs w:val="20"/>
                <w:color w:val="auto"/>
              </w:rPr>
            </w:pPr>
            <w:r>
              <w:rPr>
                <w:rFonts w:ascii="Arial" w:cs="Arial" w:eastAsia="Arial" w:hAnsi="Arial"/>
                <w:sz w:val="18"/>
                <w:szCs w:val="18"/>
                <w:color w:val="auto"/>
              </w:rPr>
              <w:t>Outstanding on December 31, 2018</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119,256</w:t>
            </w:r>
          </w:p>
        </w:tc>
      </w:tr>
      <w:tr>
        <w:trPr>
          <w:trHeight w:val="20"/>
        </w:trPr>
        <w:tc>
          <w:tcPr>
            <w:tcW w:w="96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2018, there was $1.5 million of total unrecognized compensation cost related to RSAs that will be recognized over a weighted average period of 1.3 years. The awards granted in 2018 had a weighted average grant date fair value of $24.33 per share.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08"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Stock Units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Market Stock Units ("MSUs") are exchangeable for between 0% to 150% of the Company's common shares at the end of the vesting period based on the trailing 60 day average closing price of the Company's common stock. The value of the MSUs was determined using a geometric brownian motion model that, based on certain variables, generates a large number of random trials simulating the price of the common stock over the measurement period. Expense of $1.2 million and $0.9 million related to MSUs was recorded in the years ended December 31, 2018 and 2017, respectively. Activity related to the Company’s MSUs during the year ended December 31, 2018 was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Number of Market</w:t>
            </w: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Maximum Shares</w:t>
            </w:r>
          </w:p>
        </w:tc>
      </w:tr>
      <w:tr>
        <w:trPr>
          <w:trHeight w:val="230"/>
        </w:trPr>
        <w:tc>
          <w:tcPr>
            <w:tcW w:w="766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Stock Units</w:t>
            </w:r>
          </w:p>
        </w:tc>
        <w:tc>
          <w:tcPr>
            <w:tcW w:w="1800" w:type="dxa"/>
            <w:vAlign w:val="bottom"/>
          </w:tcPr>
          <w:p>
            <w:pPr>
              <w:jc w:val="right"/>
              <w:ind w:right="110"/>
              <w:spacing w:after="0"/>
              <w:rPr>
                <w:sz w:val="20"/>
                <w:szCs w:val="20"/>
                <w:color w:val="auto"/>
              </w:rPr>
            </w:pPr>
            <w:r>
              <w:rPr>
                <w:rFonts w:ascii="Arial" w:cs="Arial" w:eastAsia="Arial" w:hAnsi="Arial"/>
                <w:sz w:val="18"/>
                <w:szCs w:val="18"/>
                <w:color w:val="auto"/>
              </w:rPr>
              <w:t>Potentially Issuable</w:t>
            </w:r>
          </w:p>
        </w:tc>
      </w:tr>
      <w:tr>
        <w:trPr>
          <w:trHeight w:val="27"/>
        </w:trPr>
        <w:tc>
          <w:tcPr>
            <w:tcW w:w="76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Outstanding on December 31, 2017</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221,936</w:t>
            </w:r>
          </w:p>
        </w:tc>
        <w:tc>
          <w:tcPr>
            <w:tcW w:w="12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332,904</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32,194</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48,292</w:t>
            </w:r>
          </w:p>
        </w:tc>
      </w:tr>
      <w:tr>
        <w:trPr>
          <w:trHeight w:val="270"/>
        </w:trPr>
        <w:tc>
          <w:tcPr>
            <w:tcW w:w="7660" w:type="dxa"/>
            <w:vAlign w:val="bottom"/>
          </w:tcPr>
          <w:p>
            <w:pPr>
              <w:ind w:left="220"/>
              <w:spacing w:after="0" w:line="270" w:lineRule="exact"/>
              <w:rPr>
                <w:sz w:val="20"/>
                <w:szCs w:val="20"/>
                <w:color w:val="auto"/>
              </w:rPr>
            </w:pPr>
            <w:r>
              <w:rPr>
                <w:rFonts w:ascii="Arial" w:cs="Arial" w:eastAsia="Arial" w:hAnsi="Arial"/>
                <w:sz w:val="18"/>
                <w:szCs w:val="18"/>
                <w:color w:val="auto"/>
              </w:rPr>
              <w:t xml:space="preserve">Exchanged for stock </w:t>
            </w:r>
            <w:r>
              <w:rPr>
                <w:rFonts w:ascii="Arial" w:cs="Arial" w:eastAsia="Arial" w:hAnsi="Arial"/>
                <w:sz w:val="25"/>
                <w:szCs w:val="25"/>
                <w:color w:val="auto"/>
                <w:vertAlign w:val="superscript"/>
              </w:rPr>
              <w:t>(1)</w:t>
            </w:r>
          </w:p>
        </w:tc>
        <w:tc>
          <w:tcPr>
            <w:tcW w:w="1840" w:type="dxa"/>
            <w:vAlign w:val="bottom"/>
          </w:tcPr>
          <w:p>
            <w:pPr>
              <w:jc w:val="right"/>
              <w:spacing w:after="0"/>
              <w:rPr>
                <w:sz w:val="20"/>
                <w:szCs w:val="20"/>
                <w:color w:val="auto"/>
              </w:rPr>
            </w:pPr>
            <w:r>
              <w:rPr>
                <w:rFonts w:ascii="Arial" w:cs="Arial" w:eastAsia="Arial" w:hAnsi="Arial"/>
                <w:sz w:val="18"/>
                <w:szCs w:val="18"/>
                <w:color w:val="auto"/>
              </w:rPr>
              <w:t>(60,995)</w:t>
            </w:r>
          </w:p>
        </w:tc>
        <w:tc>
          <w:tcPr>
            <w:tcW w:w="12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(46,799)</w:t>
            </w:r>
          </w:p>
        </w:tc>
      </w:tr>
      <w:tr>
        <w:trPr>
          <w:trHeight w:val="270"/>
        </w:trPr>
        <w:tc>
          <w:tcPr>
            <w:tcW w:w="7660" w:type="dxa"/>
            <w:vAlign w:val="bottom"/>
            <w:shd w:val="clear" w:color="auto" w:fill="CCEEFF"/>
          </w:tcPr>
          <w:p>
            <w:pPr>
              <w:ind w:left="220"/>
              <w:spacing w:after="0" w:line="270" w:lineRule="exact"/>
              <w:rPr>
                <w:sz w:val="20"/>
                <w:szCs w:val="20"/>
                <w:color w:val="auto"/>
              </w:rPr>
            </w:pPr>
            <w:r>
              <w:rPr>
                <w:rFonts w:ascii="Arial" w:cs="Arial" w:eastAsia="Arial" w:hAnsi="Arial"/>
                <w:sz w:val="18"/>
                <w:szCs w:val="18"/>
                <w:color w:val="auto"/>
              </w:rPr>
              <w:t xml:space="preserve">Maximum vs. earned </w:t>
            </w:r>
            <w:r>
              <w:rPr>
                <w:rFonts w:ascii="Arial" w:cs="Arial" w:eastAsia="Arial" w:hAnsi="Arial"/>
                <w:sz w:val="25"/>
                <w:szCs w:val="25"/>
                <w:color w:val="auto"/>
                <w:vertAlign w:val="superscript"/>
              </w:rPr>
              <w:t>(2)</w:t>
            </w: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(54,855)</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Outstanding on December 31, 2018</w:t>
            </w:r>
          </w:p>
        </w:tc>
        <w:tc>
          <w:tcPr>
            <w:tcW w:w="1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193,135</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279,542</w:t>
            </w:r>
          </w:p>
        </w:tc>
      </w:tr>
      <w:tr>
        <w:trPr>
          <w:trHeight w:val="20"/>
        </w:trPr>
        <w:tc>
          <w:tcPr>
            <w:tcW w:w="76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60,995 MSUs were exchanged for 46,799 of Lawson's common stock.</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Difference between 150% of common stock that was potentially realizable for MSUs when originally granted and the actual amount of common stock that was earned on the vesting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Each stock option can be exchanged for one share of the Company’s common stock at the stated exercise price. Activity related to stock options during the year ended December 31, 2018 was as follows:</w:t>
      </w:r>
    </w:p>
    <w:p>
      <w:pPr>
        <w:spacing w:after="0" w:line="116"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w w:val="98"/>
              </w:rPr>
              <w:t>Number of Stock</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w w:val="90"/>
              </w:rPr>
              <w:t>Weighted average</w:t>
            </w:r>
          </w:p>
        </w:tc>
      </w:tr>
      <w:tr>
        <w:trPr>
          <w:trHeight w:val="230"/>
        </w:trPr>
        <w:tc>
          <w:tcPr>
            <w:tcW w:w="6040" w:type="dxa"/>
            <w:vAlign w:val="bottom"/>
          </w:tcPr>
          <w:p>
            <w:pPr>
              <w:spacing w:after="0"/>
              <w:rPr>
                <w:sz w:val="20"/>
                <w:szCs w:val="20"/>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exercise price</w:t>
            </w:r>
          </w:p>
        </w:tc>
      </w:tr>
      <w:tr>
        <w:trPr>
          <w:trHeight w:val="27"/>
        </w:trPr>
        <w:tc>
          <w:tcPr>
            <w:tcW w:w="60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on December 31, 2017</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84,476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26.98</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460" w:type="dxa"/>
            <w:vAlign w:val="bottom"/>
          </w:tcPr>
          <w:p>
            <w:pPr>
              <w:jc w:val="right"/>
              <w:spacing w:after="0"/>
              <w:rPr>
                <w:sz w:val="20"/>
                <w:szCs w:val="20"/>
                <w:color w:val="auto"/>
              </w:rPr>
            </w:pPr>
            <w:r>
              <w:rPr>
                <w:rFonts w:ascii="Arial" w:cs="Arial" w:eastAsia="Arial" w:hAnsi="Arial"/>
                <w:sz w:val="18"/>
                <w:szCs w:val="18"/>
                <w:color w:val="auto"/>
              </w:rPr>
              <w:t>(1,005)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14.04</w:t>
            </w:r>
          </w:p>
        </w:tc>
      </w:tr>
      <w:tr>
        <w:trPr>
          <w:trHeight w:val="27"/>
        </w:trPr>
        <w:tc>
          <w:tcPr>
            <w:tcW w:w="60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on December 31, 2018</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83,471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27.14</w:t>
            </w:r>
          </w:p>
        </w:tc>
      </w:tr>
      <w:tr>
        <w:trPr>
          <w:trHeight w:val="20"/>
        </w:trPr>
        <w:tc>
          <w:tcPr>
            <w:tcW w:w="60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Expense related to stock options was $0.1 million and $0.2 million in 2018 and 2017, respectively. Unrecognized compensation at December 31, 2018 was $0.2 million. Upon vesting, stock options are recognized as a component of equity.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 Information</w:t>
      </w:r>
    </w:p>
    <w:p>
      <w:pPr>
        <w:spacing w:after="0" w:line="229" w:lineRule="exact"/>
        <w:rPr>
          <w:sz w:val="20"/>
          <w:szCs w:val="20"/>
          <w:color w:val="auto"/>
        </w:rPr>
      </w:pPr>
    </w:p>
    <w:p>
      <w:pPr>
        <w:jc w:val="both"/>
        <w:ind w:firstLine="338"/>
        <w:spacing w:after="0" w:line="272" w:lineRule="auto"/>
        <w:rPr>
          <w:sz w:val="20"/>
          <w:szCs w:val="20"/>
          <w:color w:val="auto"/>
        </w:rPr>
      </w:pPr>
      <w:r>
        <w:rPr>
          <w:rFonts w:ascii="Arial" w:cs="Arial" w:eastAsia="Arial" w:hAnsi="Arial"/>
          <w:sz w:val="17"/>
          <w:szCs w:val="17"/>
          <w:color w:val="auto"/>
        </w:rPr>
        <w:t>With the acquisition of Bolt in 2017, the Company now operates in two reportable segments. The businesses were determined to be separate reportable segments because of differences in their financial characteristics and the methods they employ to deliver product to customers. The operating segments are reviewed by the Company’s chief operating decision maker responsible for reviewing operating performance and allocating resources. The Lawson segment primarily relies on its large network of sales representatives to visit the customer at the customers' location and produce sales orders for product that is then shipped to the customer and also provides VMI services. The Bolt segment primarily sells product to customers when the customers visit one of Bolt's 14 branch locations and the product is delivered to the customers at the point of sale. The Bolt segment total assets includes the value of the acquired intangibles and the related amortization within its operating income.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ind w:left="340"/>
              <w:spacing w:after="0"/>
              <w:rPr>
                <w:sz w:val="20"/>
                <w:szCs w:val="20"/>
                <w:color w:val="auto"/>
              </w:rPr>
            </w:pPr>
            <w:r>
              <w:rPr>
                <w:rFonts w:ascii="Arial" w:cs="Arial" w:eastAsia="Arial" w:hAnsi="Arial"/>
                <w:sz w:val="18"/>
                <w:szCs w:val="18"/>
                <w:color w:val="auto"/>
              </w:rPr>
              <w:t>Financial information for the Company's reportable segments follows: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4"/>
          </w:tcPr>
          <w:p>
            <w:pPr>
              <w:jc w:val="right"/>
              <w:ind w:right="530"/>
              <w:spacing w:after="0"/>
              <w:rPr>
                <w:sz w:val="20"/>
                <w:szCs w:val="20"/>
                <w:color w:val="auto"/>
              </w:rPr>
            </w:pPr>
            <w:r>
              <w:rPr>
                <w:rFonts w:ascii="Arial" w:cs="Arial" w:eastAsia="Arial" w:hAnsi="Arial"/>
                <w:sz w:val="18"/>
                <w:szCs w:val="18"/>
                <w:color w:val="auto"/>
              </w:rPr>
              <w:t>(Dollars in thousands)</w:t>
            </w:r>
          </w:p>
        </w:tc>
      </w:tr>
      <w:tr>
        <w:trPr>
          <w:trHeight w:val="270"/>
        </w:trPr>
        <w:tc>
          <w:tcPr>
            <w:tcW w:w="8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40" w:type="dxa"/>
            <w:vAlign w:val="bottom"/>
            <w:gridSpan w:val="4"/>
          </w:tcPr>
          <w:p>
            <w:pPr>
              <w:jc w:val="right"/>
              <w:ind w:right="370"/>
              <w:spacing w:after="0"/>
              <w:rPr>
                <w:sz w:val="20"/>
                <w:szCs w:val="20"/>
                <w:color w:val="auto"/>
              </w:rPr>
            </w:pPr>
            <w:r>
              <w:rPr>
                <w:rFonts w:ascii="Arial" w:cs="Arial" w:eastAsia="Arial" w:hAnsi="Arial"/>
                <w:sz w:val="18"/>
                <w:szCs w:val="18"/>
                <w:color w:val="auto"/>
                <w:w w:val="96"/>
              </w:rPr>
              <w:t>Year Ended December 31,</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Lawson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313,095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297,953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Bolt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36,542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7,954</w:t>
            </w:r>
          </w:p>
        </w:tc>
      </w:tr>
      <w:tr>
        <w:trPr>
          <w:trHeight w:val="237"/>
        </w:trPr>
        <w:tc>
          <w:tcPr>
            <w:tcW w:w="8580" w:type="dxa"/>
            <w:vAlign w:val="bottom"/>
          </w:tcPr>
          <w:p>
            <w:pPr>
              <w:ind w:left="300"/>
              <w:spacing w:after="0"/>
              <w:rPr>
                <w:sz w:val="20"/>
                <w:szCs w:val="20"/>
                <w:color w:val="auto"/>
              </w:rPr>
            </w:pPr>
            <w:r>
              <w:rPr>
                <w:rFonts w:ascii="Arial" w:cs="Arial" w:eastAsia="Arial" w:hAnsi="Arial"/>
                <w:sz w:val="18"/>
                <w:szCs w:val="18"/>
                <w:color w:val="auto"/>
              </w:rPr>
              <w:t>Consolidated 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349,637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305,907</w:t>
            </w:r>
          </w:p>
        </w:tc>
      </w:tr>
      <w:tr>
        <w:trPr>
          <w:trHeight w:val="67"/>
        </w:trPr>
        <w:tc>
          <w:tcPr>
            <w:tcW w:w="85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70"/>
        </w:trPr>
        <w:tc>
          <w:tcPr>
            <w:tcW w:w="8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Lawson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179,578</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Bolt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14,023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3,440</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Consolidated 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189,540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183,018</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8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Lawson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4,164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Bolt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Gain on sale of property</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5,422</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Consolidated total</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6,863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10,094</w:t>
            </w:r>
          </w:p>
        </w:tc>
      </w:tr>
      <w:tr>
        <w:trPr>
          <w:trHeight w:val="67"/>
        </w:trPr>
        <w:tc>
          <w:tcPr>
            <w:tcW w:w="85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70"/>
        </w:trPr>
        <w:tc>
          <w:tcPr>
            <w:tcW w:w="8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Lawson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Bolt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Consolidated 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8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Lawson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6,008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6,280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Bolt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r>
      <w:tr>
        <w:trPr>
          <w:trHeight w:val="237"/>
        </w:trPr>
        <w:tc>
          <w:tcPr>
            <w:tcW w:w="8580" w:type="dxa"/>
            <w:vAlign w:val="bottom"/>
          </w:tcPr>
          <w:p>
            <w:pPr>
              <w:ind w:left="300"/>
              <w:spacing w:after="0"/>
              <w:rPr>
                <w:sz w:val="20"/>
                <w:szCs w:val="20"/>
                <w:color w:val="auto"/>
              </w:rPr>
            </w:pPr>
            <w:r>
              <w:rPr>
                <w:rFonts w:ascii="Arial" w:cs="Arial" w:eastAsia="Arial" w:hAnsi="Arial"/>
                <w:sz w:val="18"/>
                <w:szCs w:val="18"/>
                <w:color w:val="auto"/>
              </w:rPr>
              <w:t>Consolidated 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6,855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6,770</w:t>
            </w:r>
          </w:p>
        </w:tc>
      </w:tr>
      <w:tr>
        <w:trPr>
          <w:trHeight w:val="67"/>
        </w:trPr>
        <w:tc>
          <w:tcPr>
            <w:tcW w:w="85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70"/>
        </w:trPr>
        <w:tc>
          <w:tcPr>
            <w:tcW w:w="8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Lawson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161,520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Bolt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36,067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38,423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Intercompany note receivable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(8,832)</w:t>
            </w:r>
          </w:p>
        </w:tc>
      </w:tr>
      <w:tr>
        <w:trPr>
          <w:trHeight w:val="237"/>
        </w:trPr>
        <w:tc>
          <w:tcPr>
            <w:tcW w:w="8580" w:type="dxa"/>
            <w:vAlign w:val="bottom"/>
          </w:tcPr>
          <w:p>
            <w:pPr>
              <w:ind w:left="300"/>
              <w:spacing w:after="0"/>
              <w:rPr>
                <w:sz w:val="20"/>
                <w:szCs w:val="20"/>
                <w:color w:val="auto"/>
              </w:rPr>
            </w:pPr>
            <w:r>
              <w:rPr>
                <w:rFonts w:ascii="Arial" w:cs="Arial" w:eastAsia="Arial" w:hAnsi="Arial"/>
                <w:sz w:val="18"/>
                <w:szCs w:val="18"/>
                <w:color w:val="auto"/>
              </w:rPr>
              <w:t>Consolidated 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197,142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191,111</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Financial information related to the Company’s continuing operations by geographic area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610"/>
              <w:spacing w:after="0"/>
              <w:rPr>
                <w:sz w:val="20"/>
                <w:szCs w:val="20"/>
                <w:color w:val="auto"/>
              </w:rPr>
            </w:pPr>
            <w:r>
              <w:rPr>
                <w:rFonts w:ascii="Arial" w:cs="Arial" w:eastAsia="Arial" w:hAnsi="Arial"/>
                <w:sz w:val="18"/>
                <w:szCs w:val="18"/>
                <w:color w:val="auto"/>
              </w:rPr>
              <w:t>(Dollars in Thousands)</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740" w:type="dxa"/>
            <w:vAlign w:val="bottom"/>
            <w:gridSpan w:val="4"/>
          </w:tcPr>
          <w:p>
            <w:pPr>
              <w:jc w:val="right"/>
              <w:ind w:right="490"/>
              <w:spacing w:after="0"/>
              <w:rPr>
                <w:sz w:val="20"/>
                <w:szCs w:val="20"/>
                <w:color w:val="auto"/>
              </w:rPr>
            </w:pPr>
            <w:r>
              <w:rPr>
                <w:rFonts w:ascii="Arial" w:cs="Arial" w:eastAsia="Arial" w:hAnsi="Arial"/>
                <w:sz w:val="18"/>
                <w:szCs w:val="18"/>
                <w:color w:val="auto"/>
              </w:rPr>
              <w:t>Year Ended December 31,</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Net sales </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279,917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266,994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38,913</w:t>
            </w:r>
          </w:p>
        </w:tc>
      </w:tr>
      <w:tr>
        <w:trPr>
          <w:trHeight w:val="297"/>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Consolidated 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349,637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305,907</w:t>
            </w:r>
          </w:p>
        </w:tc>
      </w:tr>
      <w:tr>
        <w:trPr>
          <w:trHeight w:val="271"/>
        </w:trPr>
        <w:tc>
          <w:tcPr>
            <w:tcW w:w="8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Long-lived assets </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24,686</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31,507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34,322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Consolidated 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57,046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59,008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40" w:hanging="394"/>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sales are attributed to countries based on the location of customers.</w:t>
      </w:r>
    </w:p>
    <w:p>
      <w:pPr>
        <w:spacing w:after="0" w:line="225" w:lineRule="exact"/>
        <w:rPr>
          <w:rFonts w:ascii="Arial" w:cs="Arial" w:eastAsia="Arial" w:hAnsi="Arial"/>
          <w:sz w:val="18"/>
          <w:szCs w:val="18"/>
          <w:color w:val="auto"/>
        </w:rPr>
      </w:pPr>
    </w:p>
    <w:p>
      <w:pPr>
        <w:ind w:left="740" w:hanging="394"/>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Long-lived assets primarily consist of property, plant and equipment, goodwill, intangibles and other assets.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Lawson Products,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The roll forward of valuation accounts were as follows: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gridSpan w:val="5"/>
          </w:tcPr>
          <w:p>
            <w:pPr>
              <w:ind w:left="580"/>
              <w:spacing w:after="0"/>
              <w:rPr>
                <w:sz w:val="20"/>
                <w:szCs w:val="20"/>
                <w:color w:val="auto"/>
              </w:rPr>
            </w:pPr>
            <w:r>
              <w:rPr>
                <w:rFonts w:ascii="Arial" w:cs="Arial" w:eastAsia="Arial" w:hAnsi="Arial"/>
                <w:sz w:val="18"/>
                <w:szCs w:val="18"/>
                <w:color w:val="auto"/>
              </w:rPr>
              <w:t>(Dollars in thousands)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
        </w:trPr>
        <w:tc>
          <w:tcPr>
            <w:tcW w:w="4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2"/>
        </w:trPr>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Balance at</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6"/>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Beginning of</w:t>
            </w: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Charged to Costs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Balance at End of</w:t>
            </w:r>
          </w:p>
        </w:tc>
      </w:tr>
      <w:tr>
        <w:trPr>
          <w:trHeight w:val="230"/>
        </w:trPr>
        <w:tc>
          <w:tcPr>
            <w:tcW w:w="4740" w:type="dxa"/>
            <w:vAlign w:val="bottom"/>
          </w:tcPr>
          <w:p>
            <w:pPr>
              <w:ind w:left="40"/>
              <w:spacing w:after="0"/>
              <w:rPr>
                <w:sz w:val="20"/>
                <w:szCs w:val="20"/>
                <w:color w:val="auto"/>
              </w:rPr>
            </w:pPr>
            <w:r>
              <w:rPr>
                <w:rFonts w:ascii="Arial" w:cs="Arial" w:eastAsia="Arial" w:hAnsi="Arial"/>
                <w:sz w:val="18"/>
                <w:szCs w:val="18"/>
                <w:color w:val="auto"/>
              </w:rPr>
              <w:t>Description</w:t>
            </w:r>
          </w:p>
        </w:tc>
        <w:tc>
          <w:tcPr>
            <w:tcW w:w="200" w:type="dxa"/>
            <w:vAlign w:val="bottom"/>
          </w:tcPr>
          <w:p>
            <w:pPr>
              <w:spacing w:after="0"/>
              <w:rPr>
                <w:sz w:val="20"/>
                <w:szCs w:val="20"/>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Period</w:t>
            </w:r>
          </w:p>
        </w:tc>
        <w:tc>
          <w:tcPr>
            <w:tcW w:w="18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and Expenses</w:t>
            </w:r>
          </w:p>
        </w:tc>
        <w:tc>
          <w:tcPr>
            <w:tcW w:w="2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Deductions</w:t>
            </w:r>
          </w:p>
        </w:tc>
        <w:tc>
          <w:tcPr>
            <w:tcW w:w="3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Period</w:t>
            </w:r>
          </w:p>
        </w:tc>
      </w:tr>
      <w:tr>
        <w:trPr>
          <w:trHeight w:val="27"/>
        </w:trPr>
        <w:tc>
          <w:tcPr>
            <w:tcW w:w="4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doubtful accounts: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360"/>
              <w:spacing w:after="0"/>
              <w:rPr>
                <w:sz w:val="20"/>
                <w:szCs w:val="20"/>
                <w:color w:val="auto"/>
              </w:rPr>
            </w:pPr>
            <w:r>
              <w:rPr>
                <w:rFonts w:ascii="Arial" w:cs="Arial" w:eastAsia="Arial" w:hAnsi="Arial"/>
                <w:sz w:val="18"/>
                <w:szCs w:val="18"/>
                <w:color w:val="auto"/>
              </w:rPr>
              <w:t>Year ended December 31, 2018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476</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695</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549</w:t>
            </w: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Year ended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w:t>
            </w:r>
          </w:p>
        </w:tc>
      </w:tr>
      <w:tr>
        <w:trPr>
          <w:trHeight w:val="284"/>
        </w:trPr>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Valuation allowance for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360"/>
              <w:spacing w:after="0"/>
              <w:rPr>
                <w:sz w:val="20"/>
                <w:szCs w:val="20"/>
                <w:color w:val="auto"/>
              </w:rPr>
            </w:pPr>
            <w:r>
              <w:rPr>
                <w:rFonts w:ascii="Arial" w:cs="Arial" w:eastAsia="Arial" w:hAnsi="Arial"/>
                <w:sz w:val="18"/>
                <w:szCs w:val="18"/>
                <w:color w:val="auto"/>
              </w:rPr>
              <w:t>Year ended December 31, 2018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2,556</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2,569</w:t>
            </w: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35,416</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2,556</w:t>
            </w:r>
          </w:p>
        </w:tc>
      </w:tr>
      <w:tr>
        <w:trPr>
          <w:trHeight w:val="27"/>
        </w:trPr>
        <w:tc>
          <w:tcPr>
            <w:tcW w:w="4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Uncollected receivables written off, net of recoveries and translation adjustments.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55</w:t>
      </w:r>
    </w:p>
    <w:p>
      <w:pPr>
        <w:sectPr>
          <w:pgSz w:w="11900" w:h="16838" w:orient="portrait"/>
          <w:cols w:equalWidth="0" w:num="1">
            <w:col w:w="11280"/>
          </w:cols>
          <w:pgMar w:left="240" w:top="125" w:right="3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(the “Exchange Act”), as of the end of the period covered by this annual report (the “Evaluation Date”). Based on this evaluation, our Chief Executive Officer and Chief Financial Officer concluded as of the Evaluation Date that our disclosure controls and procedures were effective such that (i) the information relating to Lawson, including our consolidated subsidiaries, required to be disclosed in our SEC reports is recorded, processed, summarized and reported within the time periods specified in SEC rules and forms, and (ii) include, without limitation, controls and procedures designed to ensure that information required to be disclosed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responsible for establishing and maintaining an adequate system of internal control over financial reporting as defined in Rules 13a-15(f) and 15d-15(f) under the Securities Exchange Act of 1934, as amended, for Lawson Products, Inc. (the “Company”). This system is designed to provide reasonable assurance regarding the reliability of financial reporting and the preparation of financial statements for external purposes in accordance with U.S. generally accepted accounting principles.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 w:lineRule="exact"/>
        <w:rPr>
          <w:sz w:val="20"/>
          <w:szCs w:val="20"/>
          <w:color w:val="auto"/>
        </w:rPr>
      </w:pPr>
    </w:p>
    <w:p>
      <w:pPr>
        <w:ind w:right="20" w:firstLine="8"/>
        <w:spacing w:after="0" w:line="261" w:lineRule="auto"/>
        <w:tabs>
          <w:tab w:leader="none" w:pos="3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both"/>
        <w:ind w:firstLine="37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 of any evaluation of the effectiveness of internal control over financial reporting to future periods is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Management, with the participation of the Company’s Chief Executive Officer and Chief Financial Officer, evaluated the effectiveness of the Company’s internal control over financial reporting as of December 31, 2018. In making this evaluation, management used the criteria set forth by the Committee of Sponsoring Organizations of the Treadway Commission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Based on this assessment, management concluded that the Company’s internal control over financial reporting was effective as of December 31, 2018. The Company’s independent registered public accounting firm, BDO USA, LLP, has audited and issued a report on the Company’s internal controls over financial reporting as set forth in this annual report.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Lawson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Lawson Products, Inc.’s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“COSO criteria”). In our opinion, the Company maintained, in all material respects, effective internal control over financial reporting as of December 31, 2018, based on the COSO criteria.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and subsidiaries as of December 31, 2018 and 2017, the related consolidated statements of operations and comprehensive income, changes in stockholders’ equity, and cash flows for each of the two years in the period ended December 31, 2018, and the related notes and schedule and our report dated March 4,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/s/BDO USA,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Chicago, 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2019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last fiscal quarter that have materially affected, or are reasonably likely to materially affect, our internal control over financial reporting.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None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Directors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required by this Item is set forth in the Company’s Proxy Statement for the Annual Meeting of Stockholders to be held on May 14, 2019, under the caption “Election of Directors” and “Section 16(a) Beneficial Ownership Reporting Compliance,” which information is incorporated herein by reference.</w:t>
      </w:r>
    </w:p>
    <w:p>
      <w:pPr>
        <w:spacing w:after="0" w:line="18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Executive Officers</w:t>
      </w:r>
    </w:p>
    <w:p>
      <w:pPr>
        <w:spacing w:after="0" w:line="225" w:lineRule="exact"/>
        <w:rPr>
          <w:rFonts w:ascii="Arial" w:cs="Arial" w:eastAsia="Arial" w:hAnsi="Arial"/>
          <w:sz w:val="18"/>
          <w:szCs w:val="18"/>
          <w:b w:val="1"/>
          <w:bCs w:val="1"/>
          <w:i w:val="1"/>
          <w:iCs w:val="1"/>
          <w:color w:val="auto"/>
        </w:rPr>
      </w:pPr>
    </w:p>
    <w:p>
      <w:pPr>
        <w:ind w:left="34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The information required by this Item is set forth under the caption Item 1 —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under “Executive Officers of the Registrant.”</w:t>
      </w:r>
    </w:p>
    <w:p>
      <w:pPr>
        <w:spacing w:after="0" w:line="225"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Audit Committee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on the Company’s Audit Committee is contained under the caption “Board of Directors Meetings and Committees” in the Company’s Proxy Statement for the Annual Meeting of Stockholders to be held on May 14, 2019, which is incorporated herein by reference.</w:t>
      </w:r>
    </w:p>
    <w:p>
      <w:pPr>
        <w:spacing w:after="0" w:line="170"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The Board of Directors has determined that Thomas Postek, member of the Audit Committee of the Board of Directors, qualifies as an “audit committee financial expert” as defined in Item 407(d)(5)(ii) of Regulation S-K, and that Mr. Postek is “independent” as the term is defined in the listing standards of the NASDAQ Global Select Market.</w:t>
      </w:r>
    </w:p>
    <w:p>
      <w:pPr>
        <w:spacing w:after="0" w:line="181"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Code of Business Conduct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Company has adopted a Code of Business Conduct applicable to all employees and sales representatives. The Company’s Code of Business Conduct is applicable to senior financial executives including the principal executive officer, principal financial officer and principal accounting officer of the Company. The Company’s Code of Business Conduct is available on the Corporate Governance page in the Investor Relations section of the Company’s website at </w:t>
      </w:r>
      <w:r>
        <w:rPr>
          <w:rFonts w:ascii="Arial" w:cs="Arial" w:eastAsia="Arial" w:hAnsi="Arial"/>
          <w:sz w:val="18"/>
          <w:szCs w:val="18"/>
          <w:i w:val="1"/>
          <w:iCs w:val="1"/>
          <w:color w:val="auto"/>
        </w:rPr>
        <w:t>www.lawsonproducts.com</w:t>
      </w:r>
      <w:r>
        <w:rPr>
          <w:rFonts w:ascii="Arial" w:cs="Arial" w:eastAsia="Arial" w:hAnsi="Arial"/>
          <w:sz w:val="18"/>
          <w:szCs w:val="18"/>
          <w:color w:val="auto"/>
        </w:rPr>
        <w:t>. The Company intends to post on its website any amendments to, or waivers from its Code of Business Conduct applicable to senior financial executives. The Company will provide any persons with a copy of its Code of Business Conduct without charge upon written request directed to the Company’s Secretary at the Company’s address.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color w:val="auto"/>
        </w:rPr>
        <w:t>The information required by this Item is set forth in the Company’s Proxy Statement for the Annual Meeting of Stockholders to be held on May 14, 2019, under the caption “Remuneration of Executive Officers,” which information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82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information required by this Item is set forth in the Company’s Proxy Statement for the Annual Meeting of Stockholders to be held on May 14, 2019 under the caption “Securities Beneficially Owned by Principal Stockholders and Management” which information is incorporated herein by reference.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table provides information as of December 31, 2018 regarding the number of shares of common stock that were available for issuance under the Company’s equity compensation plans which are described in greater detail in Note 17 in the Consolidated Financial Statements.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Number of securities to be</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Weighted-average exercise</w:t>
            </w:r>
          </w:p>
        </w:tc>
        <w:tc>
          <w:tcPr>
            <w:tcW w:w="2500" w:type="dxa"/>
            <w:vAlign w:val="bottom"/>
          </w:tcPr>
          <w:p>
            <w:pPr>
              <w:jc w:val="center"/>
              <w:spacing w:after="0"/>
              <w:rPr>
                <w:sz w:val="20"/>
                <w:szCs w:val="20"/>
                <w:color w:val="auto"/>
              </w:rPr>
            </w:pPr>
            <w:r>
              <w:rPr>
                <w:rFonts w:ascii="Arial" w:cs="Arial" w:eastAsia="Arial" w:hAnsi="Arial"/>
                <w:sz w:val="16"/>
                <w:szCs w:val="16"/>
                <w:color w:val="auto"/>
                <w:w w:val="93"/>
              </w:rPr>
              <w:t>Number of securities remaining</w:t>
            </w:r>
          </w:p>
        </w:tc>
      </w:tr>
      <w:tr>
        <w:trPr>
          <w:trHeight w:val="203"/>
        </w:trPr>
        <w:tc>
          <w:tcPr>
            <w:tcW w:w="492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issued upon exercise of</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price of outstanding</w:t>
            </w: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available for future issuance under</w:t>
            </w:r>
          </w:p>
        </w:tc>
      </w:tr>
      <w:tr>
        <w:trPr>
          <w:trHeight w:val="203"/>
        </w:trPr>
        <w:tc>
          <w:tcPr>
            <w:tcW w:w="492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outstanding options,</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options, warrants and</w:t>
            </w: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equity compensation plans</w:t>
            </w:r>
          </w:p>
        </w:tc>
      </w:tr>
      <w:tr>
        <w:trPr>
          <w:trHeight w:val="203"/>
        </w:trPr>
        <w:tc>
          <w:tcPr>
            <w:tcW w:w="492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warrants and rights</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rights</w:t>
            </w:r>
          </w:p>
        </w:tc>
        <w:tc>
          <w:tcPr>
            <w:tcW w:w="2500" w:type="dxa"/>
            <w:vAlign w:val="bottom"/>
          </w:tcPr>
          <w:p>
            <w:pPr>
              <w:jc w:val="center"/>
              <w:spacing w:after="0"/>
              <w:rPr>
                <w:sz w:val="20"/>
                <w:szCs w:val="20"/>
                <w:color w:val="auto"/>
              </w:rPr>
            </w:pPr>
            <w:r>
              <w:rPr>
                <w:rFonts w:ascii="Arial" w:cs="Arial" w:eastAsia="Arial" w:hAnsi="Arial"/>
                <w:sz w:val="16"/>
                <w:szCs w:val="16"/>
                <w:color w:val="auto"/>
                <w:w w:val="92"/>
              </w:rPr>
              <w:t>(excluding securities reflected in the</w:t>
            </w:r>
          </w:p>
        </w:tc>
      </w:tr>
      <w:tr>
        <w:trPr>
          <w:trHeight w:val="206"/>
        </w:trPr>
        <w:tc>
          <w:tcPr>
            <w:tcW w:w="4920" w:type="dxa"/>
            <w:vAlign w:val="bottom"/>
          </w:tcPr>
          <w:p>
            <w:pPr>
              <w:ind w:left="2020"/>
              <w:spacing w:after="0"/>
              <w:rPr>
                <w:sz w:val="20"/>
                <w:szCs w:val="20"/>
                <w:color w:val="auto"/>
              </w:rPr>
            </w:pPr>
            <w:r>
              <w:rPr>
                <w:rFonts w:ascii="Arial" w:cs="Arial" w:eastAsia="Arial" w:hAnsi="Arial"/>
                <w:sz w:val="16"/>
                <w:szCs w:val="16"/>
                <w:color w:val="auto"/>
              </w:rPr>
              <w:t>Plan category</w:t>
            </w:r>
          </w:p>
        </w:tc>
        <w:tc>
          <w:tcPr>
            <w:tcW w:w="194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6"/>
              </w:rPr>
              <w:t>(1) (2)</w:t>
            </w:r>
          </w:p>
        </w:tc>
        <w:tc>
          <w:tcPr>
            <w:tcW w:w="10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6"/>
              </w:rPr>
              <w:t>first column)</w:t>
            </w:r>
          </w:p>
        </w:tc>
      </w:tr>
      <w:tr>
        <w:trPr>
          <w:trHeight w:val="33"/>
        </w:trPr>
        <w:tc>
          <w:tcPr>
            <w:tcW w:w="4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482,269</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$27.14</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95,862</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9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482,269</w:t>
            </w:r>
          </w:p>
        </w:tc>
        <w:tc>
          <w:tcPr>
            <w:tcW w:w="1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$27.14</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95,862</w:t>
            </w:r>
          </w:p>
        </w:tc>
      </w:tr>
      <w:tr>
        <w:trPr>
          <w:trHeight w:val="20"/>
        </w:trPr>
        <w:tc>
          <w:tcPr>
            <w:tcW w:w="49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potential common stock issuance of 119,256 from restricted stock awards, 279,542 from market stock units and 83,471 from stock options.</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Weighted-average exercise price of 83,471 stock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information required by this Item is set forth in the Company’s Proxy Statement for the Annual Meeting of Stockholders to be held on May 14, 2019 under the caption “Election of Directors” and “Certain Relationships and Related Transactions” which information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under this Item is set forth in the Company’s Proxy Statement for the Annual Meeting of Stockholders to be held on May 14, 2019 under the caption “Fees Paid to Independent Auditors” which information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jc w:val="center"/>
        <w:ind w:right="-819"/>
        <w:spacing w:after="0"/>
        <w:rPr>
          <w:sz w:val="20"/>
          <w:szCs w:val="20"/>
          <w:color w:val="auto"/>
        </w:rPr>
      </w:pPr>
      <w:r>
        <w:rPr>
          <w:rFonts w:ascii="Arial" w:cs="Arial" w:eastAsia="Arial" w:hAnsi="Arial"/>
          <w:sz w:val="18"/>
          <w:szCs w:val="18"/>
          <w:b w:val="1"/>
          <w:bCs w:val="1"/>
          <w:color w:val="auto"/>
        </w:rPr>
        <w:t>Lawson Products, Inc.</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  See Index to Financial Statements in Item 8 on page 24.</w:t>
      </w:r>
    </w:p>
    <w:p>
      <w:pPr>
        <w:spacing w:after="0" w:line="225" w:lineRule="exact"/>
        <w:rPr>
          <w:rFonts w:ascii="Arial" w:cs="Arial" w:eastAsia="Arial" w:hAnsi="Arial"/>
          <w:sz w:val="18"/>
          <w:szCs w:val="18"/>
          <w:color w:val="auto"/>
        </w:rPr>
      </w:pPr>
    </w:p>
    <w:p>
      <w:pPr>
        <w:ind w:left="780" w:hanging="380"/>
        <w:spacing w:after="0"/>
        <w:tabs>
          <w:tab w:leader="none" w:pos="7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See Schedule II in Item 8 on page 55.</w:t>
      </w:r>
    </w:p>
    <w:p>
      <w:pPr>
        <w:spacing w:after="0" w:line="225" w:lineRule="exact"/>
        <w:rPr>
          <w:rFonts w:ascii="Arial" w:cs="Arial" w:eastAsia="Arial" w:hAnsi="Arial"/>
          <w:sz w:val="18"/>
          <w:szCs w:val="18"/>
          <w:color w:val="auto"/>
        </w:rPr>
      </w:pPr>
    </w:p>
    <w:p>
      <w:pPr>
        <w:ind w:left="780" w:hanging="380"/>
        <w:spacing w:after="0"/>
        <w:tabs>
          <w:tab w:leader="none" w:pos="7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Exhibits:</w:t>
      </w:r>
    </w:p>
    <w:p>
      <w:pPr>
        <w:spacing w:after="0" w:line="383"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128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96"/>
              </w:rPr>
              <w:t>Exhibit</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80" w:type="dxa"/>
            <w:vAlign w:val="bottom"/>
            <w:gridSpan w:val="7"/>
          </w:tcPr>
          <w:p>
            <w:pPr>
              <w:jc w:val="center"/>
              <w:ind w:right="640"/>
              <w:spacing w:after="0" w:line="194" w:lineRule="exact"/>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80" w:type="dxa"/>
            <w:vAlign w:val="bottom"/>
            <w:gridSpan w:val="9"/>
          </w:tcPr>
          <w:p>
            <w:pPr>
              <w:ind w:left="20"/>
              <w:spacing w:after="0" w:line="194" w:lineRule="exact"/>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48"/>
        </w:trPr>
        <w:tc>
          <w:tcPr>
            <w:tcW w:w="440" w:type="dxa"/>
            <w:vAlign w:val="bottom"/>
            <w:tcBorders>
              <w:top w:val="single" w:sz="8" w:color="auto"/>
              <w:bottom w:val="single" w:sz="8" w:color="auto"/>
            </w:tcBorders>
            <w:gridSpan w:val="3"/>
            <w:vMerge w:val="restart"/>
          </w:tcPr>
          <w:p>
            <w:pPr>
              <w:jc w:val="center"/>
              <w:ind w:left="130"/>
              <w:spacing w:after="0"/>
              <w:rPr>
                <w:rFonts w:ascii="Arial" w:cs="Arial" w:eastAsia="Arial" w:hAnsi="Arial"/>
                <w:sz w:val="18"/>
                <w:szCs w:val="18"/>
                <w:color w:val="auto"/>
                <w:w w:val="87"/>
              </w:rPr>
            </w:pPr>
            <w:hyperlink r:id="rId16">
              <w:r>
                <w:rPr>
                  <w:rFonts w:ascii="Arial" w:cs="Arial" w:eastAsia="Arial" w:hAnsi="Arial"/>
                  <w:sz w:val="18"/>
                  <w:szCs w:val="18"/>
                  <w:color w:val="auto"/>
                  <w:w w:val="87"/>
                </w:rPr>
                <w:t>2.</w:t>
              </w:r>
            </w:hyperlink>
            <w:r>
              <w:rPr>
                <w:rFonts w:ascii="Arial" w:cs="Arial" w:eastAsia="Arial" w:hAnsi="Arial"/>
                <w:sz w:val="18"/>
                <w:szCs w:val="18"/>
                <w:color w:val="auto"/>
                <w:w w:val="87"/>
              </w:rPr>
              <w:t>1</w:t>
            </w: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980" w:type="dxa"/>
            <w:vAlign w:val="bottom"/>
            <w:gridSpan w:val="14"/>
          </w:tcPr>
          <w:p>
            <w:pPr>
              <w:spacing w:after="0" w:line="170" w:lineRule="exact"/>
              <w:rPr>
                <w:rFonts w:ascii="Arial" w:cs="Arial" w:eastAsia="Arial" w:hAnsi="Arial"/>
                <w:sz w:val="18"/>
                <w:szCs w:val="18"/>
                <w:color w:val="auto"/>
                <w:w w:val="92"/>
              </w:rPr>
            </w:pPr>
            <w:hyperlink r:id="rId16">
              <w:r>
                <w:rPr>
                  <w:rFonts w:ascii="Arial" w:cs="Arial" w:eastAsia="Arial" w:hAnsi="Arial"/>
                  <w:sz w:val="18"/>
                  <w:szCs w:val="18"/>
                  <w:color w:val="auto"/>
                  <w:w w:val="92"/>
                </w:rPr>
                <w:t>Share Purchase Agreement dated October 3, 2017 between the Company and John J. McCann and 1701017 Alberta Ltd.</w:t>
              </w:r>
            </w:hyperlink>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tcBorders>
              <w:top w:val="single" w:sz="8" w:color="auto"/>
            </w:tcBorders>
            <w:gridSpan w:val="13"/>
          </w:tcPr>
          <w:p>
            <w:pPr>
              <w:spacing w:after="0" w:line="202" w:lineRule="exact"/>
              <w:rPr>
                <w:rFonts w:ascii="Arial" w:cs="Arial" w:eastAsia="Arial" w:hAnsi="Arial"/>
                <w:sz w:val="18"/>
                <w:szCs w:val="18"/>
                <w:color w:val="auto"/>
                <w:w w:val="92"/>
              </w:rPr>
            </w:pPr>
            <w:hyperlink r:id="rId16">
              <w:r>
                <w:rPr>
                  <w:rFonts w:ascii="Arial" w:cs="Arial" w:eastAsia="Arial" w:hAnsi="Arial"/>
                  <w:sz w:val="18"/>
                  <w:szCs w:val="18"/>
                  <w:color w:val="auto"/>
                  <w:w w:val="92"/>
                </w:rPr>
                <w:t>and John McCann Family Trust and The Gideon Trust and Prairie Merchant Corporation and W. Brett Wilson incorporated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40" w:type="dxa"/>
            <w:vAlign w:val="bottom"/>
            <w:tcBorders>
              <w:top w:val="single" w:sz="8" w:color="auto"/>
            </w:tcBorders>
            <w:gridSpan w:val="12"/>
          </w:tcPr>
          <w:p>
            <w:pPr>
              <w:spacing w:after="0" w:line="196" w:lineRule="exact"/>
              <w:rPr>
                <w:rFonts w:ascii="Arial" w:cs="Arial" w:eastAsia="Arial" w:hAnsi="Arial"/>
                <w:sz w:val="18"/>
                <w:szCs w:val="18"/>
                <w:color w:val="auto"/>
              </w:rPr>
            </w:pPr>
            <w:hyperlink r:id="rId16">
              <w:r>
                <w:rPr>
                  <w:rFonts w:ascii="Arial" w:cs="Arial" w:eastAsia="Arial" w:hAnsi="Arial"/>
                  <w:sz w:val="18"/>
                  <w:szCs w:val="18"/>
                  <w:color w:val="auto"/>
                </w:rPr>
                <w:t>herein by reference to Exhibit 2.1 to the Company's Current Report on Form 8-K dated October 3, 2017.</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40" w:type="dxa"/>
            <w:vAlign w:val="bottom"/>
            <w:gridSpan w:val="3"/>
          </w:tcPr>
          <w:p>
            <w:pPr>
              <w:jc w:val="center"/>
              <w:ind w:left="130"/>
              <w:spacing w:after="0"/>
              <w:rPr>
                <w:sz w:val="20"/>
                <w:szCs w:val="20"/>
                <w:color w:val="auto"/>
              </w:rPr>
            </w:pPr>
            <w:r>
              <w:rPr>
                <w:rFonts w:ascii="Arial" w:cs="Arial" w:eastAsia="Arial" w:hAnsi="Arial"/>
                <w:sz w:val="18"/>
                <w:szCs w:val="18"/>
                <w:color w:val="auto"/>
                <w:w w:val="87"/>
              </w:rPr>
              <w:t>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14"/>
          </w:tcPr>
          <w:p>
            <w:pPr>
              <w:spacing w:after="0"/>
              <w:rPr>
                <w:sz w:val="20"/>
                <w:szCs w:val="20"/>
                <w:color w:val="auto"/>
              </w:rPr>
            </w:pPr>
            <w:r>
              <w:rPr>
                <w:rFonts w:ascii="Arial" w:cs="Arial" w:eastAsia="Arial" w:hAnsi="Arial"/>
                <w:sz w:val="18"/>
                <w:szCs w:val="18"/>
                <w:color w:val="auto"/>
                <w:w w:val="91"/>
              </w:rPr>
              <w:t>Certificate of Incorporation of the Company, as amended, incorporated herein by reference to Exhibit 3(a) to the Company's</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80" w:type="dxa"/>
            <w:vAlign w:val="bottom"/>
            <w:gridSpan w:val="14"/>
          </w:tcPr>
          <w:p>
            <w:pPr>
              <w:spacing w:after="0"/>
              <w:rPr>
                <w:sz w:val="20"/>
                <w:szCs w:val="20"/>
                <w:color w:val="auto"/>
              </w:rPr>
            </w:pPr>
            <w:r>
              <w:rPr>
                <w:rFonts w:ascii="Arial" w:cs="Arial" w:eastAsia="Arial" w:hAnsi="Arial"/>
                <w:sz w:val="18"/>
                <w:szCs w:val="18"/>
                <w:color w:val="auto"/>
              </w:rPr>
              <w:t>Annual Report on Form 10-K for the fiscal year ended December 31, 1988.</w:t>
            </w:r>
          </w:p>
        </w:tc>
        <w:tc>
          <w:tcPr>
            <w:tcW w:w="0" w:type="dxa"/>
            <w:vAlign w:val="bottom"/>
          </w:tcPr>
          <w:p>
            <w:pPr>
              <w:spacing w:after="0"/>
              <w:rPr>
                <w:sz w:val="1"/>
                <w:szCs w:val="1"/>
                <w:color w:val="auto"/>
              </w:rPr>
            </w:pPr>
          </w:p>
        </w:tc>
      </w:tr>
      <w:tr>
        <w:trPr>
          <w:trHeight w:val="446"/>
        </w:trPr>
        <w:tc>
          <w:tcPr>
            <w:tcW w:w="440" w:type="dxa"/>
            <w:vAlign w:val="bottom"/>
            <w:gridSpan w:val="3"/>
          </w:tcPr>
          <w:p>
            <w:pPr>
              <w:jc w:val="center"/>
              <w:ind w:left="130"/>
              <w:spacing w:after="0"/>
              <w:rPr>
                <w:rFonts w:ascii="Arial" w:cs="Arial" w:eastAsia="Arial" w:hAnsi="Arial"/>
                <w:sz w:val="18"/>
                <w:szCs w:val="18"/>
                <w:color w:val="auto"/>
                <w:w w:val="87"/>
              </w:rPr>
            </w:pPr>
            <w:hyperlink r:id="rId17">
              <w:r>
                <w:rPr>
                  <w:rFonts w:ascii="Arial" w:cs="Arial" w:eastAsia="Arial" w:hAnsi="Arial"/>
                  <w:sz w:val="18"/>
                  <w:szCs w:val="18"/>
                  <w:color w:val="auto"/>
                  <w:w w:val="87"/>
                </w:rPr>
                <w:t>3.</w:t>
              </w:r>
              <w:r>
                <w:rPr>
                  <w:rFonts w:ascii="Arial" w:cs="Arial" w:eastAsia="Arial" w:hAnsi="Arial"/>
                  <w:sz w:val="18"/>
                  <w:szCs w:val="18"/>
                  <w:u w:val="single" w:color="auto"/>
                  <w:color w:val="auto"/>
                  <w:w w:val="87"/>
                </w:rPr>
                <w:t>2</w:t>
              </w:r>
            </w:hyperlink>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14"/>
          </w:tcPr>
          <w:p>
            <w:pPr>
              <w:spacing w:after="0"/>
              <w:rPr>
                <w:rFonts w:ascii="Arial" w:cs="Arial" w:eastAsia="Arial" w:hAnsi="Arial"/>
                <w:sz w:val="18"/>
                <w:szCs w:val="18"/>
                <w:color w:val="auto"/>
                <w:w w:val="91"/>
              </w:rPr>
            </w:pPr>
            <w:hyperlink r:id="rId17">
              <w:r>
                <w:rPr>
                  <w:rFonts w:ascii="Arial" w:cs="Arial" w:eastAsia="Arial" w:hAnsi="Arial"/>
                  <w:sz w:val="18"/>
                  <w:szCs w:val="18"/>
                  <w:color w:val="auto"/>
                  <w:w w:val="91"/>
                </w:rPr>
                <w:t>Amended and Restated By-laws of the Company, incorporated herein by reference to Exhibit 3.1 to the Company's Current</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40" w:type="dxa"/>
            <w:vAlign w:val="bottom"/>
            <w:tcBorders>
              <w:top w:val="single" w:sz="8" w:color="auto"/>
            </w:tcBorders>
            <w:gridSpan w:val="12"/>
          </w:tcPr>
          <w:p>
            <w:pPr>
              <w:spacing w:after="0" w:line="196" w:lineRule="exact"/>
              <w:rPr>
                <w:rFonts w:ascii="Arial" w:cs="Arial" w:eastAsia="Arial" w:hAnsi="Arial"/>
                <w:sz w:val="18"/>
                <w:szCs w:val="18"/>
                <w:color w:val="auto"/>
              </w:rPr>
            </w:pPr>
            <w:hyperlink r:id="rId17">
              <w:r>
                <w:rPr>
                  <w:rFonts w:ascii="Arial" w:cs="Arial" w:eastAsia="Arial" w:hAnsi="Arial"/>
                  <w:sz w:val="18"/>
                  <w:szCs w:val="18"/>
                  <w:color w:val="auto"/>
                </w:rPr>
                <w:t>Report on Form 8-K dated October 20, 2009.</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580" w:type="dxa"/>
            <w:vAlign w:val="bottom"/>
            <w:gridSpan w:val="5"/>
          </w:tcPr>
          <w:p>
            <w:pPr>
              <w:jc w:val="center"/>
              <w:spacing w:after="0"/>
              <w:rPr>
                <w:sz w:val="20"/>
                <w:szCs w:val="20"/>
                <w:color w:val="auto"/>
              </w:rPr>
            </w:pPr>
            <w:r>
              <w:rPr>
                <w:rFonts w:ascii="Arial" w:cs="Arial" w:eastAsia="Arial" w:hAnsi="Arial"/>
                <w:sz w:val="18"/>
                <w:szCs w:val="18"/>
                <w:color w:val="auto"/>
                <w:w w:val="99"/>
              </w:rPr>
              <w:t>10.1*</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14"/>
          </w:tcPr>
          <w:p>
            <w:pPr>
              <w:spacing w:after="0"/>
              <w:rPr>
                <w:sz w:val="20"/>
                <w:szCs w:val="20"/>
                <w:color w:val="auto"/>
              </w:rPr>
            </w:pPr>
            <w:r>
              <w:rPr>
                <w:rFonts w:ascii="Arial" w:cs="Arial" w:eastAsia="Arial" w:hAnsi="Arial"/>
                <w:sz w:val="18"/>
                <w:szCs w:val="18"/>
                <w:color w:val="auto"/>
                <w:w w:val="92"/>
              </w:rPr>
              <w:t>Amended and Restated Executive Deferral Plan, incorporated herein by reference from Exhibit 10(c)(7) to the Company's</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80" w:type="dxa"/>
            <w:vAlign w:val="bottom"/>
            <w:gridSpan w:val="14"/>
          </w:tcPr>
          <w:p>
            <w:pPr>
              <w:spacing w:after="0"/>
              <w:rPr>
                <w:sz w:val="20"/>
                <w:szCs w:val="20"/>
                <w:color w:val="auto"/>
              </w:rPr>
            </w:pPr>
            <w:r>
              <w:rPr>
                <w:rFonts w:ascii="Arial" w:cs="Arial" w:eastAsia="Arial" w:hAnsi="Arial"/>
                <w:sz w:val="18"/>
                <w:szCs w:val="18"/>
                <w:color w:val="auto"/>
              </w:rPr>
              <w:t>Annual Report on Form 10-K for the fiscal year ended December 31, 1995.</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360" w:type="dxa"/>
            <w:vAlign w:val="bottom"/>
            <w:gridSpan w:val="4"/>
          </w:tcPr>
          <w:p>
            <w:pPr>
              <w:jc w:val="center"/>
              <w:ind w:right="40"/>
              <w:spacing w:after="0"/>
              <w:rPr>
                <w:rFonts w:ascii="Arial" w:cs="Arial" w:eastAsia="Arial" w:hAnsi="Arial"/>
                <w:sz w:val="18"/>
                <w:szCs w:val="18"/>
                <w:color w:val="auto"/>
                <w:w w:val="76"/>
              </w:rPr>
            </w:pPr>
            <w:hyperlink r:id="rId18">
              <w:r>
                <w:rPr>
                  <w:rFonts w:ascii="Arial" w:cs="Arial" w:eastAsia="Arial" w:hAnsi="Arial"/>
                  <w:sz w:val="18"/>
                  <w:szCs w:val="18"/>
                  <w:color w:val="auto"/>
                  <w:w w:val="76"/>
                </w:rPr>
                <w:t>10.</w:t>
              </w:r>
              <w:r>
                <w:rPr>
                  <w:rFonts w:ascii="Arial" w:cs="Arial" w:eastAsia="Arial" w:hAnsi="Arial"/>
                  <w:sz w:val="18"/>
                  <w:szCs w:val="18"/>
                  <w:u w:val="single" w:color="auto"/>
                  <w:color w:val="auto"/>
                  <w:w w:val="76"/>
                </w:rPr>
                <w:t>2*</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80" w:type="dxa"/>
            <w:vAlign w:val="bottom"/>
            <w:gridSpan w:val="14"/>
          </w:tcPr>
          <w:p>
            <w:pPr>
              <w:spacing w:after="0"/>
              <w:rPr>
                <w:rFonts w:ascii="Arial" w:cs="Arial" w:eastAsia="Arial" w:hAnsi="Arial"/>
                <w:sz w:val="18"/>
                <w:szCs w:val="18"/>
                <w:color w:val="auto"/>
                <w:w w:val="93"/>
              </w:rPr>
            </w:pPr>
            <w:hyperlink r:id="rId18">
              <w:r>
                <w:rPr>
                  <w:rFonts w:ascii="Arial" w:cs="Arial" w:eastAsia="Arial" w:hAnsi="Arial"/>
                  <w:sz w:val="18"/>
                  <w:szCs w:val="18"/>
                  <w:color w:val="auto"/>
                  <w:w w:val="93"/>
                </w:rPr>
                <w:t>Lawson Products, Inc. Stock Performance Plan, incorporated herein by reference from Exhibit 10(c)(8) to the Company’'</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Borders>
              <w:top w:val="single" w:sz="8" w:color="auto"/>
              <w:bottom w:val="single" w:sz="8" w:color="auto"/>
            </w:tcBorders>
            <w:gridSpan w:val="9"/>
          </w:tcPr>
          <w:p>
            <w:pPr>
              <w:spacing w:after="0" w:line="196" w:lineRule="exact"/>
              <w:rPr>
                <w:rFonts w:ascii="Arial" w:cs="Arial" w:eastAsia="Arial" w:hAnsi="Arial"/>
                <w:sz w:val="18"/>
                <w:szCs w:val="18"/>
                <w:color w:val="auto"/>
                <w:w w:val="91"/>
              </w:rPr>
            </w:pPr>
            <w:hyperlink r:id="rId18">
              <w:r>
                <w:rPr>
                  <w:rFonts w:ascii="Arial" w:cs="Arial" w:eastAsia="Arial" w:hAnsi="Arial"/>
                  <w:sz w:val="18"/>
                  <w:szCs w:val="18"/>
                  <w:color w:val="auto"/>
                  <w:w w:val="91"/>
                </w:rPr>
                <w:t>Annual Report on Form 10-K for the fiscal year ended December 31, 2000.</w:t>
              </w:r>
            </w:hyperlink>
          </w:p>
        </w:tc>
        <w:tc>
          <w:tcPr>
            <w:tcW w:w="3500" w:type="dxa"/>
            <w:vAlign w:val="bottom"/>
            <w:tcBorders>
              <w:top w:val="single" w:sz="8" w:color="auto"/>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20" w:type="dxa"/>
            <w:vAlign w:val="bottom"/>
          </w:tcPr>
          <w:p>
            <w:pPr>
              <w:spacing w:after="0"/>
              <w:rPr>
                <w:sz w:val="24"/>
                <w:szCs w:val="24"/>
                <w:color w:val="auto"/>
              </w:rPr>
            </w:pPr>
          </w:p>
        </w:tc>
        <w:tc>
          <w:tcPr>
            <w:tcW w:w="360" w:type="dxa"/>
            <w:vAlign w:val="bottom"/>
            <w:tcBorders>
              <w:bottom w:val="single" w:sz="8" w:color="auto"/>
            </w:tcBorders>
            <w:gridSpan w:val="4"/>
          </w:tcPr>
          <w:p>
            <w:pPr>
              <w:jc w:val="center"/>
              <w:ind w:right="40"/>
              <w:spacing w:after="0"/>
              <w:rPr>
                <w:rFonts w:ascii="Arial" w:cs="Arial" w:eastAsia="Arial" w:hAnsi="Arial"/>
                <w:sz w:val="18"/>
                <w:szCs w:val="18"/>
                <w:color w:val="auto"/>
                <w:w w:val="76"/>
              </w:rPr>
            </w:pPr>
            <w:hyperlink r:id="rId19">
              <w:r>
                <w:rPr>
                  <w:rFonts w:ascii="Arial" w:cs="Arial" w:eastAsia="Arial" w:hAnsi="Arial"/>
                  <w:sz w:val="18"/>
                  <w:szCs w:val="18"/>
                  <w:color w:val="auto"/>
                  <w:w w:val="76"/>
                </w:rPr>
                <w:t>10.</w:t>
              </w:r>
              <w:r>
                <w:rPr>
                  <w:rFonts w:ascii="Arial" w:cs="Arial" w:eastAsia="Arial" w:hAnsi="Arial"/>
                  <w:sz w:val="18"/>
                  <w:szCs w:val="18"/>
                  <w:u w:val="single" w:color="auto"/>
                  <w:color w:val="auto"/>
                  <w:w w:val="76"/>
                </w:rPr>
                <w:t>3*</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tcBorders>
              <w:bottom w:val="single" w:sz="8" w:color="auto"/>
            </w:tcBorders>
            <w:gridSpan w:val="13"/>
          </w:tcPr>
          <w:p>
            <w:pPr>
              <w:spacing w:after="0"/>
              <w:rPr>
                <w:rFonts w:ascii="Arial" w:cs="Arial" w:eastAsia="Arial" w:hAnsi="Arial"/>
                <w:sz w:val="18"/>
                <w:szCs w:val="18"/>
                <w:color w:val="auto"/>
                <w:w w:val="92"/>
              </w:rPr>
            </w:pPr>
            <w:hyperlink r:id="rId19">
              <w:r>
                <w:rPr>
                  <w:rFonts w:ascii="Arial" w:cs="Arial" w:eastAsia="Arial" w:hAnsi="Arial"/>
                  <w:sz w:val="18"/>
                  <w:szCs w:val="18"/>
                  <w:color w:val="auto"/>
                  <w:w w:val="92"/>
                </w:rPr>
                <w:t>Form Letter regarding Stock Performance Rights, incorporated by reference to Exhibit 10(c)(16) to the Company's Annual</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gridSpan w:val="14"/>
          </w:tcPr>
          <w:p>
            <w:pPr>
              <w:spacing w:after="0" w:line="196" w:lineRule="exact"/>
              <w:rPr>
                <w:rFonts w:ascii="Arial" w:cs="Arial" w:eastAsia="Arial" w:hAnsi="Arial"/>
                <w:sz w:val="18"/>
                <w:szCs w:val="18"/>
                <w:color w:val="auto"/>
              </w:rPr>
            </w:pPr>
            <w:hyperlink r:id="rId19">
              <w:r>
                <w:rPr>
                  <w:rFonts w:ascii="Arial" w:cs="Arial" w:eastAsia="Arial" w:hAnsi="Arial"/>
                  <w:sz w:val="18"/>
                  <w:szCs w:val="18"/>
                  <w:color w:val="auto"/>
                </w:rPr>
                <w:t>Report on Form 10-K for the fiscal year ended December 31, 2004.</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360" w:type="dxa"/>
            <w:vAlign w:val="bottom"/>
            <w:tcBorders>
              <w:bottom w:val="single" w:sz="8" w:color="auto"/>
            </w:tcBorders>
            <w:gridSpan w:val="4"/>
          </w:tcPr>
          <w:p>
            <w:pPr>
              <w:jc w:val="center"/>
              <w:ind w:right="40"/>
              <w:spacing w:after="0"/>
              <w:rPr>
                <w:rFonts w:ascii="Arial" w:cs="Arial" w:eastAsia="Arial" w:hAnsi="Arial"/>
                <w:sz w:val="18"/>
                <w:szCs w:val="18"/>
                <w:color w:val="auto"/>
                <w:w w:val="76"/>
              </w:rPr>
            </w:pPr>
            <w:hyperlink r:id="rId20">
              <w:r>
                <w:rPr>
                  <w:rFonts w:ascii="Arial" w:cs="Arial" w:eastAsia="Arial" w:hAnsi="Arial"/>
                  <w:sz w:val="18"/>
                  <w:szCs w:val="18"/>
                  <w:color w:val="auto"/>
                  <w:w w:val="76"/>
                </w:rPr>
                <w:t>10.</w:t>
              </w:r>
              <w:r>
                <w:rPr>
                  <w:rFonts w:ascii="Arial" w:cs="Arial" w:eastAsia="Arial" w:hAnsi="Arial"/>
                  <w:sz w:val="18"/>
                  <w:szCs w:val="18"/>
                  <w:u w:val="single" w:color="auto"/>
                  <w:color w:val="auto"/>
                  <w:w w:val="76"/>
                </w:rPr>
                <w:t>4*</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40" w:type="dxa"/>
            <w:vAlign w:val="bottom"/>
            <w:tcBorders>
              <w:bottom w:val="single" w:sz="8" w:color="auto"/>
            </w:tcBorders>
            <w:gridSpan w:val="12"/>
          </w:tcPr>
          <w:p>
            <w:pPr>
              <w:spacing w:after="0"/>
              <w:rPr>
                <w:rFonts w:ascii="Arial" w:cs="Arial" w:eastAsia="Arial" w:hAnsi="Arial"/>
                <w:sz w:val="18"/>
                <w:szCs w:val="18"/>
                <w:color w:val="auto"/>
                <w:w w:val="96"/>
              </w:rPr>
            </w:pPr>
            <w:hyperlink r:id="rId20">
              <w:r>
                <w:rPr>
                  <w:rFonts w:ascii="Arial" w:cs="Arial" w:eastAsia="Arial" w:hAnsi="Arial"/>
                  <w:sz w:val="18"/>
                  <w:szCs w:val="18"/>
                  <w:color w:val="auto"/>
                  <w:w w:val="96"/>
                </w:rPr>
                <w:t>Lawson Products, Inc. Long-Term Incentive Plan, incorporated herein by reference to Exhibit 10.1 to the Company's</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gridSpan w:val="14"/>
          </w:tcPr>
          <w:p>
            <w:pPr>
              <w:spacing w:after="0" w:line="196" w:lineRule="exact"/>
              <w:rPr>
                <w:rFonts w:ascii="Arial" w:cs="Arial" w:eastAsia="Arial" w:hAnsi="Arial"/>
                <w:sz w:val="18"/>
                <w:szCs w:val="18"/>
                <w:color w:val="auto"/>
              </w:rPr>
            </w:pPr>
            <w:hyperlink r:id="rId20">
              <w:r>
                <w:rPr>
                  <w:rFonts w:ascii="Arial" w:cs="Arial" w:eastAsia="Arial" w:hAnsi="Arial"/>
                  <w:sz w:val="18"/>
                  <w:szCs w:val="18"/>
                  <w:color w:val="auto"/>
                </w:rPr>
                <w:t>Current Report on Form 8-K dated May 13, 2008.</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360" w:type="dxa"/>
            <w:vAlign w:val="bottom"/>
            <w:tcBorders>
              <w:bottom w:val="single" w:sz="8" w:color="auto"/>
            </w:tcBorders>
            <w:gridSpan w:val="4"/>
          </w:tcPr>
          <w:p>
            <w:pPr>
              <w:jc w:val="center"/>
              <w:ind w:right="40"/>
              <w:spacing w:after="0"/>
              <w:rPr>
                <w:rFonts w:ascii="Arial" w:cs="Arial" w:eastAsia="Arial" w:hAnsi="Arial"/>
                <w:sz w:val="18"/>
                <w:szCs w:val="18"/>
                <w:color w:val="auto"/>
                <w:w w:val="76"/>
              </w:rPr>
            </w:pPr>
            <w:hyperlink r:id="rId21">
              <w:r>
                <w:rPr>
                  <w:rFonts w:ascii="Arial" w:cs="Arial" w:eastAsia="Arial" w:hAnsi="Arial"/>
                  <w:sz w:val="18"/>
                  <w:szCs w:val="18"/>
                  <w:color w:val="auto"/>
                  <w:w w:val="76"/>
                </w:rPr>
                <w:t>10.</w:t>
              </w:r>
              <w:r>
                <w:rPr>
                  <w:rFonts w:ascii="Arial" w:cs="Arial" w:eastAsia="Arial" w:hAnsi="Arial"/>
                  <w:sz w:val="18"/>
                  <w:szCs w:val="18"/>
                  <w:u w:val="single" w:color="auto"/>
                  <w:color w:val="auto"/>
                  <w:w w:val="76"/>
                </w:rPr>
                <w:t>5*</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40" w:type="dxa"/>
            <w:vAlign w:val="bottom"/>
            <w:tcBorders>
              <w:bottom w:val="single" w:sz="8" w:color="auto"/>
            </w:tcBorders>
            <w:gridSpan w:val="12"/>
          </w:tcPr>
          <w:p>
            <w:pPr>
              <w:spacing w:after="0"/>
              <w:rPr>
                <w:rFonts w:ascii="Arial" w:cs="Arial" w:eastAsia="Arial" w:hAnsi="Arial"/>
                <w:sz w:val="18"/>
                <w:szCs w:val="18"/>
                <w:color w:val="auto"/>
                <w:w w:val="95"/>
              </w:rPr>
            </w:pPr>
            <w:hyperlink r:id="rId21">
              <w:r>
                <w:rPr>
                  <w:rFonts w:ascii="Arial" w:cs="Arial" w:eastAsia="Arial" w:hAnsi="Arial"/>
                  <w:sz w:val="18"/>
                  <w:szCs w:val="18"/>
                  <w:color w:val="auto"/>
                  <w:w w:val="95"/>
                </w:rPr>
                <w:t>Form of Indemnification Agreement for Directors and Officers incorporated herein by reference to Exhibit 10.01 to the</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tcBorders>
              <w:bottom w:val="single" w:sz="8" w:color="auto"/>
            </w:tcBorders>
            <w:gridSpan w:val="8"/>
          </w:tcPr>
          <w:p>
            <w:pPr>
              <w:spacing w:after="0" w:line="196" w:lineRule="exact"/>
              <w:rPr>
                <w:rFonts w:ascii="Arial" w:cs="Arial" w:eastAsia="Arial" w:hAnsi="Arial"/>
                <w:sz w:val="18"/>
                <w:szCs w:val="18"/>
                <w:color w:val="auto"/>
                <w:w w:val="90"/>
              </w:rPr>
            </w:pPr>
            <w:hyperlink r:id="rId21">
              <w:r>
                <w:rPr>
                  <w:rFonts w:ascii="Arial" w:cs="Arial" w:eastAsia="Arial" w:hAnsi="Arial"/>
                  <w:sz w:val="18"/>
                  <w:szCs w:val="18"/>
                  <w:color w:val="auto"/>
                  <w:w w:val="90"/>
                </w:rPr>
                <w:t>Company's Current Report on Form 8-K dated September 15, 2008.</w:t>
              </w:r>
            </w:hyperlink>
          </w:p>
        </w:tc>
        <w:tc>
          <w:tcPr>
            <w:tcW w:w="40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20" w:type="dxa"/>
            <w:vAlign w:val="bottom"/>
          </w:tcPr>
          <w:p>
            <w:pPr>
              <w:spacing w:after="0"/>
              <w:rPr>
                <w:sz w:val="24"/>
                <w:szCs w:val="24"/>
                <w:color w:val="auto"/>
              </w:rPr>
            </w:pPr>
          </w:p>
        </w:tc>
        <w:tc>
          <w:tcPr>
            <w:tcW w:w="360" w:type="dxa"/>
            <w:vAlign w:val="bottom"/>
            <w:gridSpan w:val="4"/>
          </w:tcPr>
          <w:p>
            <w:pPr>
              <w:jc w:val="center"/>
              <w:ind w:right="40"/>
              <w:spacing w:after="0"/>
              <w:rPr>
                <w:rFonts w:ascii="Arial" w:cs="Arial" w:eastAsia="Arial" w:hAnsi="Arial"/>
                <w:sz w:val="18"/>
                <w:szCs w:val="18"/>
                <w:color w:val="auto"/>
                <w:w w:val="76"/>
              </w:rPr>
            </w:pPr>
            <w:hyperlink r:id="rId22">
              <w:r>
                <w:rPr>
                  <w:rFonts w:ascii="Arial" w:cs="Arial" w:eastAsia="Arial" w:hAnsi="Arial"/>
                  <w:sz w:val="18"/>
                  <w:szCs w:val="18"/>
                  <w:color w:val="auto"/>
                  <w:w w:val="76"/>
                </w:rPr>
                <w:t>10.</w:t>
              </w:r>
              <w:r>
                <w:rPr>
                  <w:rFonts w:ascii="Arial" w:cs="Arial" w:eastAsia="Arial" w:hAnsi="Arial"/>
                  <w:sz w:val="18"/>
                  <w:szCs w:val="18"/>
                  <w:u w:val="single" w:color="auto"/>
                  <w:color w:val="auto"/>
                  <w:w w:val="76"/>
                </w:rPr>
                <w:t>6*</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14"/>
          </w:tcPr>
          <w:p>
            <w:pPr>
              <w:spacing w:after="0"/>
              <w:rPr>
                <w:rFonts w:ascii="Arial" w:cs="Arial" w:eastAsia="Arial" w:hAnsi="Arial"/>
                <w:sz w:val="18"/>
                <w:szCs w:val="18"/>
                <w:color w:val="auto"/>
                <w:w w:val="94"/>
              </w:rPr>
            </w:pPr>
            <w:hyperlink r:id="rId22">
              <w:r>
                <w:rPr>
                  <w:rFonts w:ascii="Arial" w:cs="Arial" w:eastAsia="Arial" w:hAnsi="Arial"/>
                  <w:sz w:val="18"/>
                  <w:szCs w:val="18"/>
                  <w:color w:val="auto"/>
                  <w:w w:val="94"/>
                </w:rPr>
                <w:t>Form of Amended and Restated Award Agreement, incorporated by reference to Exhibit 10.2 to the Company's Current</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top w:val="single" w:sz="8" w:color="auto"/>
              <w:bottom w:val="single" w:sz="8" w:color="auto"/>
            </w:tcBorders>
            <w:gridSpan w:val="4"/>
          </w:tcPr>
          <w:p>
            <w:pPr>
              <w:spacing w:after="0" w:line="196" w:lineRule="exact"/>
              <w:rPr>
                <w:rFonts w:ascii="Arial" w:cs="Arial" w:eastAsia="Arial" w:hAnsi="Arial"/>
                <w:sz w:val="18"/>
                <w:szCs w:val="18"/>
                <w:color w:val="auto"/>
                <w:w w:val="90"/>
              </w:rPr>
            </w:pPr>
            <w:hyperlink r:id="rId22">
              <w:r>
                <w:rPr>
                  <w:rFonts w:ascii="Arial" w:cs="Arial" w:eastAsia="Arial" w:hAnsi="Arial"/>
                  <w:sz w:val="18"/>
                  <w:szCs w:val="18"/>
                  <w:color w:val="auto"/>
                  <w:w w:val="90"/>
                </w:rPr>
                <w:t>Report on Form 8-K dated February 12, 2009.</w:t>
              </w:r>
            </w:hyperlink>
          </w:p>
        </w:tc>
        <w:tc>
          <w:tcPr>
            <w:tcW w:w="5600" w:type="dxa"/>
            <w:vAlign w:val="bottom"/>
            <w:tcBorders>
              <w:top w:val="single" w:sz="8" w:color="auto"/>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20" w:type="dxa"/>
            <w:vAlign w:val="bottom"/>
          </w:tcPr>
          <w:p>
            <w:pPr>
              <w:spacing w:after="0"/>
              <w:rPr>
                <w:sz w:val="24"/>
                <w:szCs w:val="24"/>
                <w:color w:val="auto"/>
              </w:rPr>
            </w:pPr>
          </w:p>
        </w:tc>
        <w:tc>
          <w:tcPr>
            <w:tcW w:w="360" w:type="dxa"/>
            <w:vAlign w:val="bottom"/>
            <w:gridSpan w:val="4"/>
          </w:tcPr>
          <w:p>
            <w:pPr>
              <w:jc w:val="center"/>
              <w:ind w:right="40"/>
              <w:spacing w:after="0"/>
              <w:rPr>
                <w:rFonts w:ascii="Arial" w:cs="Arial" w:eastAsia="Arial" w:hAnsi="Arial"/>
                <w:sz w:val="18"/>
                <w:szCs w:val="18"/>
                <w:color w:val="auto"/>
                <w:w w:val="76"/>
              </w:rPr>
            </w:pPr>
            <w:hyperlink r:id="rId23">
              <w:r>
                <w:rPr>
                  <w:rFonts w:ascii="Arial" w:cs="Arial" w:eastAsia="Arial" w:hAnsi="Arial"/>
                  <w:sz w:val="18"/>
                  <w:szCs w:val="18"/>
                  <w:color w:val="auto"/>
                  <w:w w:val="76"/>
                </w:rPr>
                <w:t>10.</w:t>
              </w:r>
              <w:r>
                <w:rPr>
                  <w:rFonts w:ascii="Arial" w:cs="Arial" w:eastAsia="Arial" w:hAnsi="Arial"/>
                  <w:sz w:val="18"/>
                  <w:szCs w:val="18"/>
                  <w:u w:val="single" w:color="auto"/>
                  <w:color w:val="auto"/>
                  <w:w w:val="76"/>
                </w:rPr>
                <w:t>7*</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14"/>
          </w:tcPr>
          <w:p>
            <w:pPr>
              <w:spacing w:after="0"/>
              <w:rPr>
                <w:rFonts w:ascii="Arial" w:cs="Arial" w:eastAsia="Arial" w:hAnsi="Arial"/>
                <w:sz w:val="18"/>
                <w:szCs w:val="18"/>
                <w:color w:val="auto"/>
                <w:w w:val="92"/>
              </w:rPr>
            </w:pPr>
            <w:hyperlink r:id="rId23">
              <w:r>
                <w:rPr>
                  <w:rFonts w:ascii="Arial" w:cs="Arial" w:eastAsia="Arial" w:hAnsi="Arial"/>
                  <w:sz w:val="18"/>
                  <w:szCs w:val="18"/>
                  <w:color w:val="auto"/>
                  <w:w w:val="92"/>
                </w:rPr>
                <w:t>Lawson Products, Inc. 2009 Equity Compensation Plan, incorporated by reference to Appendix A to the Company's Proxy</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40" w:type="dxa"/>
            <w:vAlign w:val="bottom"/>
            <w:tcBorders>
              <w:top w:val="single" w:sz="8" w:color="auto"/>
            </w:tcBorders>
            <w:gridSpan w:val="12"/>
          </w:tcPr>
          <w:p>
            <w:pPr>
              <w:spacing w:after="0" w:line="196" w:lineRule="exact"/>
              <w:rPr>
                <w:rFonts w:ascii="Arial" w:cs="Arial" w:eastAsia="Arial" w:hAnsi="Arial"/>
                <w:sz w:val="18"/>
                <w:szCs w:val="18"/>
                <w:color w:val="auto"/>
              </w:rPr>
            </w:pPr>
            <w:hyperlink r:id="rId23">
              <w:r>
                <w:rPr>
                  <w:rFonts w:ascii="Arial" w:cs="Arial" w:eastAsia="Arial" w:hAnsi="Arial"/>
                  <w:sz w:val="18"/>
                  <w:szCs w:val="18"/>
                  <w:color w:val="auto"/>
                </w:rPr>
                <w:t>Statement on Schedule 14A Information dated November 4, 2009.</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540" w:type="dxa"/>
            <w:vAlign w:val="bottom"/>
            <w:gridSpan w:val="4"/>
            <w:shd w:val="clear" w:color="auto" w:fill="000000"/>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5"/>
          </w:tcPr>
          <w:p>
            <w:pPr>
              <w:jc w:val="center"/>
              <w:spacing w:after="0"/>
              <w:rPr>
                <w:rFonts w:ascii="Arial" w:cs="Arial" w:eastAsia="Arial" w:hAnsi="Arial"/>
                <w:sz w:val="18"/>
                <w:szCs w:val="18"/>
                <w:color w:val="auto"/>
                <w:w w:val="85"/>
              </w:rPr>
            </w:pPr>
            <w:hyperlink r:id="rId24">
              <w:r>
                <w:rPr>
                  <w:rFonts w:ascii="Arial" w:cs="Arial" w:eastAsia="Arial" w:hAnsi="Arial"/>
                  <w:sz w:val="18"/>
                  <w:szCs w:val="18"/>
                  <w:color w:val="auto"/>
                  <w:w w:val="85"/>
                </w:rPr>
                <w:t>10.</w:t>
              </w:r>
              <w:r>
                <w:rPr>
                  <w:rFonts w:ascii="Arial" w:cs="Arial" w:eastAsia="Arial" w:hAnsi="Arial"/>
                  <w:sz w:val="18"/>
                  <w:szCs w:val="18"/>
                  <w:u w:val="single" w:color="auto"/>
                  <w:color w:val="auto"/>
                  <w:w w:val="85"/>
                </w:rPr>
                <w:t>8</w:t>
              </w:r>
            </w:hyperlink>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4"/>
          </w:tcPr>
          <w:p>
            <w:pPr>
              <w:spacing w:after="0"/>
              <w:rPr>
                <w:rFonts w:ascii="Arial" w:cs="Arial" w:eastAsia="Arial" w:hAnsi="Arial"/>
                <w:sz w:val="18"/>
                <w:szCs w:val="18"/>
                <w:color w:val="auto"/>
                <w:w w:val="95"/>
              </w:rPr>
            </w:pPr>
            <w:hyperlink r:id="rId24">
              <w:r>
                <w:rPr>
                  <w:rFonts w:ascii="Arial" w:cs="Arial" w:eastAsia="Arial" w:hAnsi="Arial"/>
                  <w:sz w:val="18"/>
                  <w:szCs w:val="18"/>
                  <w:color w:val="auto"/>
                  <w:w w:val="95"/>
                </w:rPr>
                <w:t>Loan and Security Agreement dated August 8, 2012 between the Company and The PrivateBank and Trust Company,</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40" w:type="dxa"/>
            <w:vAlign w:val="bottom"/>
            <w:tcBorders>
              <w:top w:val="single" w:sz="8" w:color="auto"/>
              <w:bottom w:val="single" w:sz="8" w:color="auto"/>
            </w:tcBorders>
            <w:gridSpan w:val="11"/>
          </w:tcPr>
          <w:p>
            <w:pPr>
              <w:spacing w:after="0" w:line="196" w:lineRule="exact"/>
              <w:rPr>
                <w:rFonts w:ascii="Arial" w:cs="Arial" w:eastAsia="Arial" w:hAnsi="Arial"/>
                <w:sz w:val="18"/>
                <w:szCs w:val="18"/>
                <w:color w:val="auto"/>
                <w:w w:val="91"/>
              </w:rPr>
            </w:pPr>
            <w:hyperlink r:id="rId24">
              <w:r>
                <w:rPr>
                  <w:rFonts w:ascii="Arial" w:cs="Arial" w:eastAsia="Arial" w:hAnsi="Arial"/>
                  <w:sz w:val="18"/>
                  <w:szCs w:val="18"/>
                  <w:color w:val="auto"/>
                  <w:w w:val="91"/>
                </w:rPr>
                <w:t>incorporated herein by reference to Exhibit 10.1 to the Company’s Current Report on Form 8-K dated August 8, 2012.</w:t>
              </w:r>
            </w:hyperlink>
          </w:p>
        </w:tc>
        <w:tc>
          <w:tcPr>
            <w:tcW w:w="400" w:type="dxa"/>
            <w:vAlign w:val="bottom"/>
            <w:tcBorders>
              <w:top w:val="single" w:sz="8" w:color="auto"/>
            </w:tcBorders>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20" w:type="dxa"/>
            <w:vAlign w:val="bottom"/>
          </w:tcPr>
          <w:p>
            <w:pPr>
              <w:spacing w:after="0"/>
              <w:rPr>
                <w:sz w:val="24"/>
                <w:szCs w:val="24"/>
                <w:color w:val="auto"/>
              </w:rPr>
            </w:pPr>
          </w:p>
        </w:tc>
        <w:tc>
          <w:tcPr>
            <w:tcW w:w="360" w:type="dxa"/>
            <w:vAlign w:val="bottom"/>
            <w:gridSpan w:val="4"/>
          </w:tcPr>
          <w:p>
            <w:pPr>
              <w:jc w:val="center"/>
              <w:ind w:right="40"/>
              <w:spacing w:after="0"/>
              <w:rPr>
                <w:rFonts w:ascii="Arial" w:cs="Arial" w:eastAsia="Arial" w:hAnsi="Arial"/>
                <w:sz w:val="18"/>
                <w:szCs w:val="18"/>
                <w:color w:val="auto"/>
                <w:w w:val="76"/>
              </w:rPr>
            </w:pPr>
            <w:hyperlink r:id="rId25">
              <w:r>
                <w:rPr>
                  <w:rFonts w:ascii="Arial" w:cs="Arial" w:eastAsia="Arial" w:hAnsi="Arial"/>
                  <w:sz w:val="18"/>
                  <w:szCs w:val="18"/>
                  <w:color w:val="auto"/>
                  <w:w w:val="76"/>
                </w:rPr>
                <w:t>10.</w:t>
              </w:r>
              <w:r>
                <w:rPr>
                  <w:rFonts w:ascii="Arial" w:cs="Arial" w:eastAsia="Arial" w:hAnsi="Arial"/>
                  <w:sz w:val="18"/>
                  <w:szCs w:val="18"/>
                  <w:u w:val="single" w:color="auto"/>
                  <w:color w:val="auto"/>
                  <w:w w:val="76"/>
                </w:rPr>
                <w:t>9*</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14"/>
          </w:tcPr>
          <w:p>
            <w:pPr>
              <w:spacing w:after="0"/>
              <w:rPr>
                <w:rFonts w:ascii="Arial" w:cs="Arial" w:eastAsia="Arial" w:hAnsi="Arial"/>
                <w:sz w:val="18"/>
                <w:szCs w:val="18"/>
                <w:color w:val="auto"/>
                <w:w w:val="93"/>
              </w:rPr>
            </w:pPr>
            <w:hyperlink r:id="rId25">
              <w:r>
                <w:rPr>
                  <w:rFonts w:ascii="Arial" w:cs="Arial" w:eastAsia="Arial" w:hAnsi="Arial"/>
                  <w:sz w:val="18"/>
                  <w:szCs w:val="18"/>
                  <w:color w:val="auto"/>
                  <w:w w:val="93"/>
                </w:rPr>
                <w:t>Employment Agreement dated as of August 29, 2012 by and between Lawson Products, Inc., an Illinois corporation, and</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40" w:type="dxa"/>
            <w:vAlign w:val="bottom"/>
            <w:tcBorders>
              <w:top w:val="single" w:sz="8" w:color="auto"/>
              <w:bottom w:val="single" w:sz="8" w:color="auto"/>
            </w:tcBorders>
            <w:gridSpan w:val="12"/>
          </w:tcPr>
          <w:p>
            <w:pPr>
              <w:spacing w:after="0" w:line="196" w:lineRule="exact"/>
              <w:rPr>
                <w:rFonts w:ascii="Arial" w:cs="Arial" w:eastAsia="Arial" w:hAnsi="Arial"/>
                <w:sz w:val="18"/>
                <w:szCs w:val="18"/>
                <w:color w:val="auto"/>
                <w:w w:val="95"/>
              </w:rPr>
            </w:pPr>
            <w:hyperlink r:id="rId25">
              <w:r>
                <w:rPr>
                  <w:rFonts w:ascii="Arial" w:cs="Arial" w:eastAsia="Arial" w:hAnsi="Arial"/>
                  <w:sz w:val="18"/>
                  <w:szCs w:val="18"/>
                  <w:color w:val="auto"/>
                  <w:w w:val="95"/>
                </w:rPr>
                <w:t>Neil E. Jenkins, incorporated herein by reference to Exhibit 10.2 to the Company's Current Report on Form 8-K dated</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gridSpan w:val="14"/>
          </w:tcPr>
          <w:p>
            <w:pPr>
              <w:spacing w:after="0" w:line="196" w:lineRule="exact"/>
              <w:rPr>
                <w:rFonts w:ascii="Arial" w:cs="Arial" w:eastAsia="Arial" w:hAnsi="Arial"/>
                <w:sz w:val="18"/>
                <w:szCs w:val="18"/>
                <w:color w:val="auto"/>
              </w:rPr>
            </w:pPr>
            <w:hyperlink r:id="rId25">
              <w:r>
                <w:rPr>
                  <w:rFonts w:ascii="Arial" w:cs="Arial" w:eastAsia="Arial" w:hAnsi="Arial"/>
                  <w:sz w:val="18"/>
                  <w:szCs w:val="18"/>
                  <w:color w:val="auto"/>
                </w:rPr>
                <w:t>August 29, 2012.</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7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360" w:type="dxa"/>
            <w:vAlign w:val="bottom"/>
            <w:gridSpan w:val="4"/>
          </w:tcPr>
          <w:p>
            <w:pPr>
              <w:jc w:val="center"/>
              <w:spacing w:after="0"/>
              <w:rPr>
                <w:rFonts w:ascii="Arial" w:cs="Arial" w:eastAsia="Arial" w:hAnsi="Arial"/>
                <w:sz w:val="17"/>
                <w:szCs w:val="17"/>
                <w:color w:val="auto"/>
                <w:w w:val="73"/>
              </w:rPr>
            </w:pPr>
            <w:hyperlink r:id="rId26">
              <w:r>
                <w:rPr>
                  <w:rFonts w:ascii="Arial" w:cs="Arial" w:eastAsia="Arial" w:hAnsi="Arial"/>
                  <w:sz w:val="17"/>
                  <w:szCs w:val="17"/>
                  <w:color w:val="auto"/>
                  <w:w w:val="73"/>
                </w:rPr>
                <w:t>10.</w:t>
              </w:r>
              <w:r>
                <w:rPr>
                  <w:rFonts w:ascii="Arial" w:cs="Arial" w:eastAsia="Arial" w:hAnsi="Arial"/>
                  <w:sz w:val="17"/>
                  <w:szCs w:val="17"/>
                  <w:u w:val="single" w:color="auto"/>
                  <w:color w:val="auto"/>
                  <w:w w:val="73"/>
                </w:rPr>
                <w:t>10*</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14"/>
          </w:tcPr>
          <w:p>
            <w:pPr>
              <w:spacing w:after="0"/>
              <w:rPr>
                <w:rFonts w:ascii="Arial" w:cs="Arial" w:eastAsia="Arial" w:hAnsi="Arial"/>
                <w:sz w:val="18"/>
                <w:szCs w:val="18"/>
                <w:color w:val="auto"/>
                <w:w w:val="93"/>
              </w:rPr>
            </w:pPr>
            <w:hyperlink r:id="rId26">
              <w:r>
                <w:rPr>
                  <w:rFonts w:ascii="Arial" w:cs="Arial" w:eastAsia="Arial" w:hAnsi="Arial"/>
                  <w:sz w:val="18"/>
                  <w:szCs w:val="18"/>
                  <w:color w:val="auto"/>
                  <w:w w:val="93"/>
                </w:rPr>
                <w:t>Employment Agreement dated as of August 29, 2012 by and between Lawson Products, Inc., an Illinois corporation, and</w:t>
              </w:r>
            </w:hyperlink>
          </w:p>
        </w:tc>
        <w:tc>
          <w:tcPr>
            <w:tcW w:w="0" w:type="dxa"/>
            <w:vAlign w:val="bottom"/>
          </w:tcPr>
          <w:p>
            <w:pPr>
              <w:spacing w:after="0"/>
              <w:rPr>
                <w:sz w:val="1"/>
                <w:szCs w:val="1"/>
                <w:color w:val="auto"/>
              </w:rPr>
            </w:pPr>
          </w:p>
        </w:tc>
      </w:tr>
      <w:tr>
        <w:trPr>
          <w:trHeight w:val="20"/>
        </w:trPr>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260" w:type="dxa"/>
            <w:vAlign w:val="bottom"/>
            <w:tcBorders>
              <w:right w:val="single" w:sz="8" w:color="auto"/>
            </w:tcBorders>
            <w:gridSpan w:val="11"/>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gridSpan w:val="14"/>
          </w:tcPr>
          <w:p>
            <w:pPr>
              <w:spacing w:after="0" w:line="196" w:lineRule="exact"/>
              <w:rPr>
                <w:rFonts w:ascii="Arial" w:cs="Arial" w:eastAsia="Arial" w:hAnsi="Arial"/>
                <w:sz w:val="18"/>
                <w:szCs w:val="18"/>
                <w:color w:val="auto"/>
                <w:w w:val="91"/>
              </w:rPr>
            </w:pPr>
            <w:hyperlink r:id="rId26">
              <w:r>
                <w:rPr>
                  <w:rFonts w:ascii="Arial" w:cs="Arial" w:eastAsia="Arial" w:hAnsi="Arial"/>
                  <w:sz w:val="18"/>
                  <w:szCs w:val="18"/>
                  <w:color w:val="auto"/>
                  <w:w w:val="91"/>
                </w:rPr>
                <w:t>Ron Knutson, incorporated herein by reference to Exhibit 10.3 to the Company's Current Report on Form 8-K dated August</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auto"/>
              <w:bottom w:val="single" w:sz="8" w:color="auto"/>
            </w:tcBorders>
          </w:tcPr>
          <w:p>
            <w:pPr>
              <w:spacing w:after="0" w:line="196" w:lineRule="exact"/>
              <w:rPr>
                <w:rFonts w:ascii="Arial" w:cs="Arial" w:eastAsia="Arial" w:hAnsi="Arial"/>
                <w:sz w:val="18"/>
                <w:szCs w:val="18"/>
                <w:color w:val="auto"/>
                <w:w w:val="87"/>
              </w:rPr>
            </w:pPr>
            <w:hyperlink r:id="rId26">
              <w:r>
                <w:rPr>
                  <w:rFonts w:ascii="Arial" w:cs="Arial" w:eastAsia="Arial" w:hAnsi="Arial"/>
                  <w:sz w:val="18"/>
                  <w:szCs w:val="18"/>
                  <w:color w:val="auto"/>
                  <w:w w:val="87"/>
                </w:rPr>
                <w:t>29, 2012.</w:t>
              </w:r>
            </w:hyperlink>
          </w:p>
        </w:tc>
        <w:tc>
          <w:tcPr>
            <w:tcW w:w="56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600"/>
          </w:cols>
          <w:pgMar w:left="240" w:top="121" w:right="1059" w:bottom="1440" w:gutter="0" w:footer="0" w:header="0"/>
        </w:sect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0600"/>
          </w:cols>
          <w:pgMar w:left="240" w:top="121" w:right="105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80" w:type="dxa"/>
            <w:vAlign w:val="bottom"/>
            <w:gridSpan w:val="4"/>
          </w:tcPr>
          <w:p>
            <w:pPr>
              <w:jc w:val="center"/>
              <w:ind w:right="3400"/>
              <w:spacing w:after="0"/>
              <w:rPr>
                <w:sz w:val="20"/>
                <w:szCs w:val="20"/>
                <w:color w:val="auto"/>
              </w:rPr>
            </w:pPr>
            <w:r>
              <w:rPr>
                <w:rFonts w:ascii="Arial" w:cs="Arial" w:eastAsia="Arial" w:hAnsi="Arial"/>
                <w:sz w:val="18"/>
                <w:szCs w:val="18"/>
                <w:b w:val="1"/>
                <w:bCs w:val="1"/>
                <w:color w:val="auto"/>
                <w:w w:val="90"/>
              </w:rPr>
              <w:t>Lawson Products, Inc.</w:t>
            </w: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40" w:type="dxa"/>
            <w:vAlign w:val="bottom"/>
            <w:gridSpan w:val="5"/>
          </w:tcPr>
          <w:p>
            <w:pPr>
              <w:jc w:val="center"/>
              <w:ind w:right="2260"/>
              <w:spacing w:after="0"/>
              <w:rPr>
                <w:sz w:val="20"/>
                <w:szCs w:val="20"/>
                <w:color w:val="auto"/>
              </w:rPr>
            </w:pPr>
            <w:r>
              <w:rPr>
                <w:rFonts w:ascii="Arial" w:cs="Arial" w:eastAsia="Arial" w:hAnsi="Arial"/>
                <w:sz w:val="18"/>
                <w:szCs w:val="18"/>
                <w:b w:val="1"/>
                <w:bCs w:val="1"/>
                <w:color w:val="auto"/>
                <w:w w:val="88"/>
              </w:rPr>
              <w:t>Notes to Consolidated Financial Statements</w:t>
            </w:r>
          </w:p>
        </w:tc>
      </w:tr>
      <w:tr>
        <w:trPr>
          <w:trHeight w:val="797"/>
        </w:trPr>
        <w:tc>
          <w:tcPr>
            <w:tcW w:w="480" w:type="dxa"/>
            <w:vAlign w:val="bottom"/>
            <w:gridSpan w:val="5"/>
          </w:tcPr>
          <w:p>
            <w:pPr>
              <w:jc w:val="center"/>
              <w:spacing w:after="0"/>
              <w:rPr>
                <w:rFonts w:ascii="Arial" w:cs="Arial" w:eastAsia="Arial" w:hAnsi="Arial"/>
                <w:sz w:val="18"/>
                <w:szCs w:val="18"/>
                <w:color w:val="auto"/>
                <w:w w:val="84"/>
              </w:rPr>
            </w:pPr>
            <w:hyperlink r:id="rId27">
              <w:r>
                <w:rPr>
                  <w:rFonts w:ascii="Arial" w:cs="Arial" w:eastAsia="Arial" w:hAnsi="Arial"/>
                  <w:sz w:val="18"/>
                  <w:szCs w:val="18"/>
                  <w:color w:val="auto"/>
                  <w:w w:val="84"/>
                </w:rPr>
                <w:t>10.</w:t>
              </w:r>
              <w:r>
                <w:rPr>
                  <w:rFonts w:ascii="Arial" w:cs="Arial" w:eastAsia="Arial" w:hAnsi="Arial"/>
                  <w:sz w:val="18"/>
                  <w:szCs w:val="18"/>
                  <w:u w:val="single" w:color="auto"/>
                  <w:color w:val="auto"/>
                  <w:w w:val="84"/>
                </w:rPr>
                <w:t>11</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940" w:type="dxa"/>
            <w:vAlign w:val="bottom"/>
            <w:gridSpan w:val="13"/>
          </w:tcPr>
          <w:p>
            <w:pPr>
              <w:spacing w:after="0"/>
              <w:rPr>
                <w:rFonts w:ascii="Arial" w:cs="Arial" w:eastAsia="Arial" w:hAnsi="Arial"/>
                <w:sz w:val="18"/>
                <w:szCs w:val="18"/>
                <w:color w:val="auto"/>
                <w:w w:val="91"/>
              </w:rPr>
            </w:pPr>
            <w:hyperlink r:id="rId27">
              <w:r>
                <w:rPr>
                  <w:rFonts w:ascii="Arial" w:cs="Arial" w:eastAsia="Arial" w:hAnsi="Arial"/>
                  <w:sz w:val="18"/>
                  <w:szCs w:val="18"/>
                  <w:color w:val="auto"/>
                  <w:w w:val="91"/>
                </w:rPr>
                <w:t>First Amendment to Loan and Security Agreement dated September 25, 2013 between the Company and The PrivateBank</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auto"/>
              <w:bottom w:val="single" w:sz="8" w:color="auto"/>
            </w:tcBorders>
            <w:gridSpan w:val="13"/>
          </w:tcPr>
          <w:p>
            <w:pPr>
              <w:spacing w:after="0" w:line="196" w:lineRule="exact"/>
              <w:rPr>
                <w:rFonts w:ascii="Arial" w:cs="Arial" w:eastAsia="Arial" w:hAnsi="Arial"/>
                <w:sz w:val="18"/>
                <w:szCs w:val="18"/>
                <w:color w:val="auto"/>
                <w:w w:val="91"/>
              </w:rPr>
            </w:pPr>
            <w:hyperlink r:id="rId27">
              <w:r>
                <w:rPr>
                  <w:rFonts w:ascii="Arial" w:cs="Arial" w:eastAsia="Arial" w:hAnsi="Arial"/>
                  <w:sz w:val="18"/>
                  <w:szCs w:val="18"/>
                  <w:color w:val="auto"/>
                  <w:w w:val="91"/>
                </w:rPr>
                <w:t>and Trust Company, incorporated herein by reference to Exhibit 10.1 to the Company's Current Report on Form 8-K dated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00" w:type="dxa"/>
            <w:vAlign w:val="bottom"/>
            <w:tcBorders>
              <w:bottom w:val="single" w:sz="8" w:color="auto"/>
            </w:tcBorders>
            <w:gridSpan w:val="8"/>
          </w:tcPr>
          <w:p>
            <w:pPr>
              <w:spacing w:after="0" w:line="196" w:lineRule="exact"/>
              <w:rPr>
                <w:rFonts w:ascii="Arial" w:cs="Arial" w:eastAsia="Arial" w:hAnsi="Arial"/>
                <w:sz w:val="18"/>
                <w:szCs w:val="18"/>
                <w:color w:val="auto"/>
                <w:w w:val="88"/>
              </w:rPr>
            </w:pPr>
            <w:hyperlink r:id="rId27">
              <w:r>
                <w:rPr>
                  <w:rFonts w:ascii="Arial" w:cs="Arial" w:eastAsia="Arial" w:hAnsi="Arial"/>
                  <w:sz w:val="18"/>
                  <w:szCs w:val="18"/>
                  <w:color w:val="auto"/>
                  <w:w w:val="88"/>
                </w:rPr>
                <w:t>September 25, 2013.</w:t>
              </w:r>
            </w:hyperlink>
          </w:p>
        </w:tc>
        <w:tc>
          <w:tcPr>
            <w:tcW w:w="7440" w:type="dxa"/>
            <w:vAlign w:val="bottom"/>
            <w:gridSpan w:val="5"/>
          </w:tcPr>
          <w:p>
            <w:pPr>
              <w:spacing w:after="0"/>
              <w:rPr>
                <w:sz w:val="17"/>
                <w:szCs w:val="17"/>
                <w:color w:val="auto"/>
              </w:rPr>
            </w:pPr>
          </w:p>
        </w:tc>
      </w:tr>
      <w:tr>
        <w:trPr>
          <w:trHeight w:val="466"/>
        </w:trPr>
        <w:tc>
          <w:tcPr>
            <w:tcW w:w="480" w:type="dxa"/>
            <w:vAlign w:val="bottom"/>
            <w:gridSpan w:val="5"/>
          </w:tcPr>
          <w:p>
            <w:pPr>
              <w:jc w:val="center"/>
              <w:spacing w:after="0"/>
              <w:rPr>
                <w:rFonts w:ascii="Arial" w:cs="Arial" w:eastAsia="Arial" w:hAnsi="Arial"/>
                <w:sz w:val="18"/>
                <w:szCs w:val="18"/>
                <w:color w:val="auto"/>
                <w:w w:val="93"/>
              </w:rPr>
            </w:pPr>
            <w:hyperlink r:id="rId28">
              <w:r>
                <w:rPr>
                  <w:rFonts w:ascii="Arial" w:cs="Arial" w:eastAsia="Arial" w:hAnsi="Arial"/>
                  <w:sz w:val="18"/>
                  <w:szCs w:val="18"/>
                  <w:color w:val="auto"/>
                  <w:w w:val="93"/>
                </w:rPr>
                <w:t>10.</w:t>
              </w:r>
              <w:r>
                <w:rPr>
                  <w:rFonts w:ascii="Arial" w:cs="Arial" w:eastAsia="Arial" w:hAnsi="Arial"/>
                  <w:sz w:val="18"/>
                  <w:szCs w:val="18"/>
                  <w:u w:val="single" w:color="auto"/>
                  <w:color w:val="auto"/>
                  <w:w w:val="93"/>
                </w:rPr>
                <w:t>12</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940" w:type="dxa"/>
            <w:vAlign w:val="bottom"/>
            <w:gridSpan w:val="13"/>
          </w:tcPr>
          <w:p>
            <w:pPr>
              <w:spacing w:after="0"/>
              <w:rPr>
                <w:rFonts w:ascii="Arial" w:cs="Arial" w:eastAsia="Arial" w:hAnsi="Arial"/>
                <w:sz w:val="18"/>
                <w:szCs w:val="18"/>
                <w:color w:val="auto"/>
                <w:w w:val="99"/>
              </w:rPr>
            </w:pPr>
            <w:hyperlink r:id="rId28">
              <w:r>
                <w:rPr>
                  <w:rFonts w:ascii="Arial" w:cs="Arial" w:eastAsia="Arial" w:hAnsi="Arial"/>
                  <w:sz w:val="18"/>
                  <w:szCs w:val="18"/>
                  <w:color w:val="auto"/>
                  <w:w w:val="99"/>
                </w:rPr>
                <w:t>Second Amendment to Loan and Security Agreement dated December 20, 2013 between the Company and The</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auto"/>
              <w:bottom w:val="single" w:sz="8" w:color="auto"/>
            </w:tcBorders>
            <w:gridSpan w:val="13"/>
          </w:tcPr>
          <w:p>
            <w:pPr>
              <w:spacing w:after="0" w:line="196" w:lineRule="exact"/>
              <w:rPr>
                <w:rFonts w:ascii="Arial" w:cs="Arial" w:eastAsia="Arial" w:hAnsi="Arial"/>
                <w:sz w:val="18"/>
                <w:szCs w:val="18"/>
                <w:color w:val="auto"/>
                <w:w w:val="94"/>
              </w:rPr>
            </w:pPr>
            <w:hyperlink r:id="rId28">
              <w:r>
                <w:rPr>
                  <w:rFonts w:ascii="Arial" w:cs="Arial" w:eastAsia="Arial" w:hAnsi="Arial"/>
                  <w:sz w:val="18"/>
                  <w:szCs w:val="18"/>
                  <w:color w:val="auto"/>
                  <w:w w:val="94"/>
                </w:rPr>
                <w:t>PrivateBank and Trust Company, incorporated herein by reference to Exhibit 10.1 to the Company's Current Report on</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gridSpan w:val="13"/>
          </w:tcPr>
          <w:p>
            <w:pPr>
              <w:spacing w:after="0" w:line="196" w:lineRule="exact"/>
              <w:rPr>
                <w:rFonts w:ascii="Arial" w:cs="Arial" w:eastAsia="Arial" w:hAnsi="Arial"/>
                <w:sz w:val="18"/>
                <w:szCs w:val="18"/>
                <w:color w:val="auto"/>
              </w:rPr>
            </w:pPr>
            <w:hyperlink r:id="rId28">
              <w:r>
                <w:rPr>
                  <w:rFonts w:ascii="Arial" w:cs="Arial" w:eastAsia="Arial" w:hAnsi="Arial"/>
                  <w:sz w:val="18"/>
                  <w:szCs w:val="18"/>
                  <w:color w:val="auto"/>
                </w:rPr>
                <w:t>Form 8-K dated December 20, 2013.</w:t>
              </w:r>
            </w:hyperlink>
          </w:p>
        </w:tc>
      </w:tr>
      <w:tr>
        <w:trPr>
          <w:trHeight w:val="20"/>
        </w:trPr>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480" w:type="dxa"/>
            <w:vAlign w:val="bottom"/>
            <w:gridSpan w:val="5"/>
          </w:tcPr>
          <w:p>
            <w:pPr>
              <w:jc w:val="center"/>
              <w:spacing w:after="0"/>
              <w:rPr>
                <w:rFonts w:ascii="Arial" w:cs="Arial" w:eastAsia="Arial" w:hAnsi="Arial"/>
                <w:sz w:val="18"/>
                <w:szCs w:val="18"/>
                <w:color w:val="auto"/>
                <w:w w:val="93"/>
              </w:rPr>
            </w:pPr>
            <w:hyperlink r:id="rId29">
              <w:r>
                <w:rPr>
                  <w:rFonts w:ascii="Arial" w:cs="Arial" w:eastAsia="Arial" w:hAnsi="Arial"/>
                  <w:sz w:val="18"/>
                  <w:szCs w:val="18"/>
                  <w:color w:val="auto"/>
                  <w:w w:val="93"/>
                </w:rPr>
                <w:t>10.</w:t>
              </w:r>
              <w:r>
                <w:rPr>
                  <w:rFonts w:ascii="Arial" w:cs="Arial" w:eastAsia="Arial" w:hAnsi="Arial"/>
                  <w:sz w:val="18"/>
                  <w:szCs w:val="18"/>
                  <w:u w:val="single" w:color="auto"/>
                  <w:color w:val="auto"/>
                  <w:w w:val="93"/>
                </w:rPr>
                <w:t>13</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13"/>
          </w:tcPr>
          <w:p>
            <w:pPr>
              <w:spacing w:after="0"/>
              <w:rPr>
                <w:rFonts w:ascii="Arial" w:cs="Arial" w:eastAsia="Arial" w:hAnsi="Arial"/>
                <w:sz w:val="18"/>
                <w:szCs w:val="18"/>
                <w:color w:val="auto"/>
                <w:w w:val="92"/>
              </w:rPr>
            </w:pPr>
            <w:hyperlink r:id="rId29">
              <w:r>
                <w:rPr>
                  <w:rFonts w:ascii="Arial" w:cs="Arial" w:eastAsia="Arial" w:hAnsi="Arial"/>
                  <w:sz w:val="18"/>
                  <w:szCs w:val="18"/>
                  <w:color w:val="auto"/>
                  <w:w w:val="92"/>
                </w:rPr>
                <w:t>Third Amendment to Loan and Security Agreement dated February 14, 2013 between the Company and The PrivateBank</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auto"/>
              <w:bottom w:val="single" w:sz="8" w:color="auto"/>
            </w:tcBorders>
            <w:gridSpan w:val="13"/>
          </w:tcPr>
          <w:p>
            <w:pPr>
              <w:spacing w:after="0" w:line="196" w:lineRule="exact"/>
              <w:rPr>
                <w:rFonts w:ascii="Arial" w:cs="Arial" w:eastAsia="Arial" w:hAnsi="Arial"/>
                <w:sz w:val="18"/>
                <w:szCs w:val="18"/>
                <w:color w:val="auto"/>
                <w:w w:val="92"/>
              </w:rPr>
            </w:pPr>
            <w:hyperlink r:id="rId29">
              <w:r>
                <w:rPr>
                  <w:rFonts w:ascii="Arial" w:cs="Arial" w:eastAsia="Arial" w:hAnsi="Arial"/>
                  <w:sz w:val="18"/>
                  <w:szCs w:val="18"/>
                  <w:color w:val="auto"/>
                  <w:w w:val="92"/>
                </w:rPr>
                <w:t>and Trust Company incorporated herein by reference to Exhibit 10.1 to the Company's Current Report on Form 8-K dated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Borders>
              <w:bottom w:val="single" w:sz="8" w:color="auto"/>
            </w:tcBorders>
            <w:gridSpan w:val="6"/>
          </w:tcPr>
          <w:p>
            <w:pPr>
              <w:spacing w:after="0" w:line="196" w:lineRule="exact"/>
              <w:rPr>
                <w:rFonts w:ascii="Arial" w:cs="Arial" w:eastAsia="Arial" w:hAnsi="Arial"/>
                <w:sz w:val="18"/>
                <w:szCs w:val="18"/>
                <w:color w:val="auto"/>
                <w:w w:val="89"/>
              </w:rPr>
            </w:pPr>
            <w:hyperlink r:id="rId29">
              <w:r>
                <w:rPr>
                  <w:rFonts w:ascii="Arial" w:cs="Arial" w:eastAsia="Arial" w:hAnsi="Arial"/>
                  <w:sz w:val="18"/>
                  <w:szCs w:val="18"/>
                  <w:color w:val="auto"/>
                  <w:w w:val="89"/>
                </w:rPr>
                <w:t>February 14, 2014.</w:t>
              </w:r>
            </w:hyperlink>
          </w:p>
        </w:tc>
        <w:tc>
          <w:tcPr>
            <w:tcW w:w="7560" w:type="dxa"/>
            <w:vAlign w:val="bottom"/>
            <w:gridSpan w:val="7"/>
          </w:tcPr>
          <w:p>
            <w:pPr>
              <w:spacing w:after="0"/>
              <w:rPr>
                <w:sz w:val="17"/>
                <w:szCs w:val="17"/>
                <w:color w:val="auto"/>
              </w:rPr>
            </w:pPr>
          </w:p>
        </w:tc>
      </w:tr>
      <w:tr>
        <w:trPr>
          <w:trHeight w:val="250"/>
        </w:trPr>
        <w:tc>
          <w:tcPr>
            <w:tcW w:w="480" w:type="dxa"/>
            <w:vAlign w:val="bottom"/>
            <w:gridSpan w:val="5"/>
          </w:tcPr>
          <w:p>
            <w:pPr>
              <w:jc w:val="center"/>
              <w:spacing w:after="0"/>
              <w:rPr>
                <w:rFonts w:ascii="Arial" w:cs="Arial" w:eastAsia="Arial" w:hAnsi="Arial"/>
                <w:sz w:val="18"/>
                <w:szCs w:val="18"/>
                <w:color w:val="auto"/>
                <w:w w:val="93"/>
              </w:rPr>
            </w:pPr>
            <w:hyperlink r:id="rId30">
              <w:r>
                <w:rPr>
                  <w:rFonts w:ascii="Arial" w:cs="Arial" w:eastAsia="Arial" w:hAnsi="Arial"/>
                  <w:sz w:val="18"/>
                  <w:szCs w:val="18"/>
                  <w:color w:val="auto"/>
                  <w:w w:val="93"/>
                </w:rPr>
                <w:t>10.</w:t>
              </w:r>
              <w:r>
                <w:rPr>
                  <w:rFonts w:ascii="Arial" w:cs="Arial" w:eastAsia="Arial" w:hAnsi="Arial"/>
                  <w:sz w:val="18"/>
                  <w:szCs w:val="18"/>
                  <w:u w:val="single" w:color="auto"/>
                  <w:color w:val="auto"/>
                  <w:w w:val="93"/>
                </w:rPr>
                <w:t>14</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13"/>
          </w:tcPr>
          <w:p>
            <w:pPr>
              <w:spacing w:after="0"/>
              <w:rPr>
                <w:rFonts w:ascii="Arial" w:cs="Arial" w:eastAsia="Arial" w:hAnsi="Arial"/>
                <w:sz w:val="18"/>
                <w:szCs w:val="18"/>
                <w:color w:val="auto"/>
                <w:w w:val="92"/>
              </w:rPr>
            </w:pPr>
            <w:hyperlink r:id="rId30">
              <w:r>
                <w:rPr>
                  <w:rFonts w:ascii="Arial" w:cs="Arial" w:eastAsia="Arial" w:hAnsi="Arial"/>
                  <w:sz w:val="18"/>
                  <w:szCs w:val="18"/>
                  <w:color w:val="auto"/>
                  <w:w w:val="92"/>
                </w:rPr>
                <w:t>Agreement of Lease dated June 30, 2014 between the Company and KTR Property Trust III incorporated by reference to</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auto"/>
            </w:tcBorders>
            <w:gridSpan w:val="13"/>
          </w:tcPr>
          <w:p>
            <w:pPr>
              <w:spacing w:after="0" w:line="196" w:lineRule="exact"/>
              <w:rPr>
                <w:rFonts w:ascii="Arial" w:cs="Arial" w:eastAsia="Arial" w:hAnsi="Arial"/>
                <w:sz w:val="18"/>
                <w:szCs w:val="18"/>
                <w:color w:val="auto"/>
              </w:rPr>
            </w:pPr>
            <w:hyperlink r:id="rId30">
              <w:r>
                <w:rPr>
                  <w:rFonts w:ascii="Arial" w:cs="Arial" w:eastAsia="Arial" w:hAnsi="Arial"/>
                  <w:sz w:val="18"/>
                  <w:szCs w:val="18"/>
                  <w:color w:val="auto"/>
                </w:rPr>
                <w:t>Exhibit 10.1 to the Company's Current Report on Form 8-K dated June 30, 2014.</w:t>
              </w:r>
            </w:hyperlink>
          </w:p>
        </w:tc>
      </w:tr>
      <w:tr>
        <w:trPr>
          <w:trHeight w:val="20"/>
        </w:trPr>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380" w:type="dxa"/>
            <w:vAlign w:val="bottom"/>
            <w:gridSpan w:val="3"/>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540" w:type="dxa"/>
            <w:vAlign w:val="bottom"/>
            <w:gridSpan w:val="7"/>
          </w:tcPr>
          <w:p>
            <w:pPr>
              <w:jc w:val="center"/>
              <w:spacing w:after="0"/>
              <w:rPr>
                <w:rFonts w:ascii="Arial" w:cs="Arial" w:eastAsia="Arial" w:hAnsi="Arial"/>
                <w:sz w:val="18"/>
                <w:szCs w:val="18"/>
                <w:color w:val="auto"/>
                <w:w w:val="95"/>
              </w:rPr>
            </w:pPr>
            <w:hyperlink r:id="rId31">
              <w:r>
                <w:rPr>
                  <w:rFonts w:ascii="Arial" w:cs="Arial" w:eastAsia="Arial" w:hAnsi="Arial"/>
                  <w:sz w:val="18"/>
                  <w:szCs w:val="18"/>
                  <w:color w:val="auto"/>
                  <w:w w:val="95"/>
                </w:rPr>
                <w:t>10.</w:t>
              </w:r>
              <w:r>
                <w:rPr>
                  <w:rFonts w:ascii="Arial" w:cs="Arial" w:eastAsia="Arial" w:hAnsi="Arial"/>
                  <w:sz w:val="18"/>
                  <w:szCs w:val="18"/>
                  <w:u w:val="single" w:color="auto"/>
                  <w:color w:val="auto"/>
                  <w:w w:val="95"/>
                </w:rPr>
                <w:t>15*</w:t>
              </w:r>
            </w:hyperlink>
          </w:p>
        </w:tc>
        <w:tc>
          <w:tcPr>
            <w:tcW w:w="700" w:type="dxa"/>
            <w:vAlign w:val="bottom"/>
          </w:tcPr>
          <w:p>
            <w:pPr>
              <w:spacing w:after="0"/>
              <w:rPr>
                <w:sz w:val="21"/>
                <w:szCs w:val="21"/>
                <w:color w:val="auto"/>
              </w:rPr>
            </w:pPr>
          </w:p>
        </w:tc>
        <w:tc>
          <w:tcPr>
            <w:tcW w:w="8940" w:type="dxa"/>
            <w:vAlign w:val="bottom"/>
            <w:gridSpan w:val="13"/>
          </w:tcPr>
          <w:p>
            <w:pPr>
              <w:spacing w:after="0"/>
              <w:rPr>
                <w:rFonts w:ascii="Arial" w:cs="Arial" w:eastAsia="Arial" w:hAnsi="Arial"/>
                <w:sz w:val="18"/>
                <w:szCs w:val="18"/>
                <w:color w:val="auto"/>
                <w:w w:val="92"/>
              </w:rPr>
            </w:pPr>
            <w:hyperlink r:id="rId31">
              <w:r>
                <w:rPr>
                  <w:rFonts w:ascii="Arial" w:cs="Arial" w:eastAsia="Arial" w:hAnsi="Arial"/>
                  <w:sz w:val="18"/>
                  <w:szCs w:val="18"/>
                  <w:color w:val="auto"/>
                  <w:w w:val="92"/>
                </w:rPr>
                <w:t>Employment Agreement dated as of January 12, 2015 by and between Lawson Products, Inc., an Illinois corporation, and</w:t>
              </w:r>
            </w:hyperlink>
          </w:p>
        </w:tc>
      </w:tr>
      <w:tr>
        <w:trPr>
          <w:trHeight w:val="196"/>
        </w:trPr>
        <w:tc>
          <w:tcPr>
            <w:tcW w:w="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auto"/>
              <w:bottom w:val="single" w:sz="8" w:color="auto"/>
            </w:tcBorders>
            <w:gridSpan w:val="13"/>
          </w:tcPr>
          <w:p>
            <w:pPr>
              <w:spacing w:after="0" w:line="196" w:lineRule="exact"/>
              <w:rPr>
                <w:rFonts w:ascii="Arial" w:cs="Arial" w:eastAsia="Arial" w:hAnsi="Arial"/>
                <w:sz w:val="18"/>
                <w:szCs w:val="18"/>
                <w:color w:val="auto"/>
                <w:w w:val="92"/>
              </w:rPr>
            </w:pPr>
            <w:hyperlink r:id="rId31">
              <w:r>
                <w:rPr>
                  <w:rFonts w:ascii="Arial" w:cs="Arial" w:eastAsia="Arial" w:hAnsi="Arial"/>
                  <w:sz w:val="18"/>
                  <w:szCs w:val="18"/>
                  <w:color w:val="auto"/>
                  <w:w w:val="92"/>
                </w:rPr>
                <w:t>Michael G. DeCata, incorporated herein by reference to Exhibit 10.1 to the Company's Current Report on Form 8-K dated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gridSpan w:val="13"/>
          </w:tcPr>
          <w:p>
            <w:pPr>
              <w:spacing w:after="0" w:line="196" w:lineRule="exact"/>
              <w:rPr>
                <w:rFonts w:ascii="Arial" w:cs="Arial" w:eastAsia="Arial" w:hAnsi="Arial"/>
                <w:sz w:val="18"/>
                <w:szCs w:val="18"/>
                <w:color w:val="auto"/>
              </w:rPr>
            </w:pPr>
            <w:hyperlink r:id="rId31">
              <w:r>
                <w:rPr>
                  <w:rFonts w:ascii="Arial" w:cs="Arial" w:eastAsia="Arial" w:hAnsi="Arial"/>
                  <w:sz w:val="18"/>
                  <w:szCs w:val="18"/>
                  <w:color w:val="auto"/>
                </w:rPr>
                <w:t>January 12, 2015.</w:t>
              </w:r>
            </w:hyperlink>
          </w:p>
        </w:tc>
      </w:tr>
      <w:tr>
        <w:trPr>
          <w:trHeight w:val="20"/>
        </w:trPr>
        <w:tc>
          <w:tcPr>
            <w:tcW w:w="4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66"/>
        </w:trPr>
        <w:tc>
          <w:tcPr>
            <w:tcW w:w="540" w:type="dxa"/>
            <w:vAlign w:val="bottom"/>
            <w:gridSpan w:val="7"/>
          </w:tcPr>
          <w:p>
            <w:pPr>
              <w:jc w:val="center"/>
              <w:spacing w:after="0"/>
              <w:rPr>
                <w:rFonts w:ascii="Arial" w:cs="Arial" w:eastAsia="Arial" w:hAnsi="Arial"/>
                <w:sz w:val="18"/>
                <w:szCs w:val="18"/>
                <w:color w:val="auto"/>
                <w:w w:val="95"/>
              </w:rPr>
            </w:pPr>
            <w:hyperlink r:id="rId32">
              <w:r>
                <w:rPr>
                  <w:rFonts w:ascii="Arial" w:cs="Arial" w:eastAsia="Arial" w:hAnsi="Arial"/>
                  <w:sz w:val="18"/>
                  <w:szCs w:val="18"/>
                  <w:color w:val="auto"/>
                  <w:w w:val="95"/>
                </w:rPr>
                <w:t>10.</w:t>
              </w:r>
              <w:r>
                <w:rPr>
                  <w:rFonts w:ascii="Arial" w:cs="Arial" w:eastAsia="Arial" w:hAnsi="Arial"/>
                  <w:sz w:val="18"/>
                  <w:szCs w:val="18"/>
                  <w:u w:val="single" w:color="auto"/>
                  <w:color w:val="auto"/>
                  <w:w w:val="95"/>
                </w:rPr>
                <w:t>16*</w:t>
              </w:r>
            </w:hyperlink>
          </w:p>
        </w:tc>
        <w:tc>
          <w:tcPr>
            <w:tcW w:w="700" w:type="dxa"/>
            <w:vAlign w:val="bottom"/>
          </w:tcPr>
          <w:p>
            <w:pPr>
              <w:spacing w:after="0"/>
              <w:rPr>
                <w:sz w:val="24"/>
                <w:szCs w:val="24"/>
                <w:color w:val="auto"/>
              </w:rPr>
            </w:pPr>
          </w:p>
        </w:tc>
        <w:tc>
          <w:tcPr>
            <w:tcW w:w="8940" w:type="dxa"/>
            <w:vAlign w:val="bottom"/>
            <w:gridSpan w:val="13"/>
          </w:tcPr>
          <w:p>
            <w:pPr>
              <w:spacing w:after="0"/>
              <w:rPr>
                <w:rFonts w:ascii="Arial" w:cs="Arial" w:eastAsia="Arial" w:hAnsi="Arial"/>
                <w:sz w:val="18"/>
                <w:szCs w:val="18"/>
                <w:color w:val="auto"/>
                <w:w w:val="90"/>
              </w:rPr>
            </w:pPr>
            <w:hyperlink r:id="rId32">
              <w:r>
                <w:rPr>
                  <w:rFonts w:ascii="Arial" w:cs="Arial" w:eastAsia="Arial" w:hAnsi="Arial"/>
                  <w:sz w:val="18"/>
                  <w:szCs w:val="18"/>
                  <w:color w:val="auto"/>
                  <w:w w:val="90"/>
                </w:rPr>
                <w:t>Award Agreement dated as of January 12, 2015 by and between Lawson Products, Inc., an Illinois corporation, and Michael</w:t>
              </w:r>
            </w:hyperlink>
          </w:p>
        </w:tc>
      </w:tr>
      <w:tr>
        <w:trPr>
          <w:trHeight w:val="196"/>
        </w:trPr>
        <w:tc>
          <w:tcPr>
            <w:tcW w:w="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auto"/>
              <w:bottom w:val="single" w:sz="8" w:color="auto"/>
            </w:tcBorders>
            <w:gridSpan w:val="13"/>
          </w:tcPr>
          <w:p>
            <w:pPr>
              <w:spacing w:after="0" w:line="196" w:lineRule="exact"/>
              <w:rPr>
                <w:rFonts w:ascii="Arial" w:cs="Arial" w:eastAsia="Arial" w:hAnsi="Arial"/>
                <w:sz w:val="18"/>
                <w:szCs w:val="18"/>
                <w:color w:val="auto"/>
                <w:w w:val="92"/>
              </w:rPr>
            </w:pPr>
            <w:hyperlink r:id="rId32">
              <w:r>
                <w:rPr>
                  <w:rFonts w:ascii="Arial" w:cs="Arial" w:eastAsia="Arial" w:hAnsi="Arial"/>
                  <w:sz w:val="18"/>
                  <w:szCs w:val="18"/>
                  <w:color w:val="auto"/>
                  <w:w w:val="92"/>
                </w:rPr>
                <w:t>G. DeCata, incorporated herein by reference to Exhibit 10.2 to the Company's Current Report on Form 8-K dated January</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Borders>
              <w:bottom w:val="single" w:sz="8" w:color="auto"/>
            </w:tcBorders>
            <w:gridSpan w:val="2"/>
          </w:tcPr>
          <w:p>
            <w:pPr>
              <w:spacing w:after="0" w:line="196" w:lineRule="exact"/>
              <w:rPr>
                <w:rFonts w:ascii="Arial" w:cs="Arial" w:eastAsia="Arial" w:hAnsi="Arial"/>
                <w:sz w:val="18"/>
                <w:szCs w:val="18"/>
                <w:color w:val="auto"/>
                <w:w w:val="90"/>
              </w:rPr>
            </w:pPr>
            <w:hyperlink r:id="rId32">
              <w:r>
                <w:rPr>
                  <w:rFonts w:ascii="Arial" w:cs="Arial" w:eastAsia="Arial" w:hAnsi="Arial"/>
                  <w:sz w:val="18"/>
                  <w:szCs w:val="18"/>
                  <w:color w:val="auto"/>
                  <w:w w:val="90"/>
                </w:rPr>
                <w:t>12, 2015.</w:t>
              </w:r>
            </w:hyperlink>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50"/>
        </w:trPr>
        <w:tc>
          <w:tcPr>
            <w:tcW w:w="480" w:type="dxa"/>
            <w:vAlign w:val="bottom"/>
            <w:gridSpan w:val="5"/>
          </w:tcPr>
          <w:p>
            <w:pPr>
              <w:jc w:val="center"/>
              <w:spacing w:after="0"/>
              <w:rPr>
                <w:rFonts w:ascii="Arial" w:cs="Arial" w:eastAsia="Arial" w:hAnsi="Arial"/>
                <w:sz w:val="18"/>
                <w:szCs w:val="18"/>
                <w:color w:val="auto"/>
                <w:w w:val="93"/>
              </w:rPr>
            </w:pPr>
            <w:hyperlink r:id="rId33">
              <w:r>
                <w:rPr>
                  <w:rFonts w:ascii="Arial" w:cs="Arial" w:eastAsia="Arial" w:hAnsi="Arial"/>
                  <w:sz w:val="18"/>
                  <w:szCs w:val="18"/>
                  <w:color w:val="auto"/>
                  <w:w w:val="93"/>
                </w:rPr>
                <w:t>10.</w:t>
              </w:r>
              <w:r>
                <w:rPr>
                  <w:rFonts w:ascii="Arial" w:cs="Arial" w:eastAsia="Arial" w:hAnsi="Arial"/>
                  <w:sz w:val="18"/>
                  <w:szCs w:val="18"/>
                  <w:u w:val="single" w:color="auto"/>
                  <w:color w:val="auto"/>
                  <w:w w:val="93"/>
                </w:rPr>
                <w:t>15</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13"/>
          </w:tcPr>
          <w:p>
            <w:pPr>
              <w:spacing w:after="0"/>
              <w:rPr>
                <w:rFonts w:ascii="Arial" w:cs="Arial" w:eastAsia="Arial" w:hAnsi="Arial"/>
                <w:sz w:val="18"/>
                <w:szCs w:val="18"/>
                <w:color w:val="auto"/>
                <w:w w:val="90"/>
              </w:rPr>
            </w:pPr>
            <w:hyperlink r:id="rId33">
              <w:r>
                <w:rPr>
                  <w:rFonts w:ascii="Arial" w:cs="Arial" w:eastAsia="Arial" w:hAnsi="Arial"/>
                  <w:sz w:val="18"/>
                  <w:szCs w:val="18"/>
                  <w:color w:val="auto"/>
                  <w:w w:val="90"/>
                </w:rPr>
                <w:t>Consent to Loan and Security Agreement dated September 30, 2015 between the Company and The PrivateBank and Trust</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auto"/>
              <w:bottom w:val="single" w:sz="8" w:color="auto"/>
            </w:tcBorders>
            <w:gridSpan w:val="13"/>
          </w:tcPr>
          <w:p>
            <w:pPr>
              <w:spacing w:after="0" w:line="196" w:lineRule="exact"/>
              <w:rPr>
                <w:rFonts w:ascii="Arial" w:cs="Arial" w:eastAsia="Arial" w:hAnsi="Arial"/>
                <w:sz w:val="18"/>
                <w:szCs w:val="18"/>
                <w:color w:val="auto"/>
                <w:w w:val="98"/>
              </w:rPr>
            </w:pPr>
            <w:hyperlink r:id="rId33">
              <w:r>
                <w:rPr>
                  <w:rFonts w:ascii="Arial" w:cs="Arial" w:eastAsia="Arial" w:hAnsi="Arial"/>
                  <w:sz w:val="18"/>
                  <w:szCs w:val="18"/>
                  <w:color w:val="auto"/>
                  <w:w w:val="98"/>
                </w:rPr>
                <w:t>Company, incorporated herein by reference to Exhibit 10.18 to the Company's Annual Report on Form 10-K dated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gridSpan w:val="13"/>
          </w:tcPr>
          <w:p>
            <w:pPr>
              <w:spacing w:after="0" w:line="196" w:lineRule="exact"/>
              <w:rPr>
                <w:rFonts w:ascii="Arial" w:cs="Arial" w:eastAsia="Arial" w:hAnsi="Arial"/>
                <w:sz w:val="18"/>
                <w:szCs w:val="18"/>
                <w:color w:val="auto"/>
              </w:rPr>
            </w:pPr>
            <w:hyperlink r:id="rId33">
              <w:r>
                <w:rPr>
                  <w:rFonts w:ascii="Arial" w:cs="Arial" w:eastAsia="Arial" w:hAnsi="Arial"/>
                  <w:sz w:val="18"/>
                  <w:szCs w:val="18"/>
                  <w:color w:val="auto"/>
                </w:rPr>
                <w:t>December 31, 2015.</w:t>
              </w:r>
            </w:hyperlink>
          </w:p>
        </w:tc>
      </w:tr>
      <w:tr>
        <w:trPr>
          <w:trHeight w:val="20"/>
        </w:trPr>
        <w:tc>
          <w:tcPr>
            <w:tcW w:w="4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66"/>
        </w:trPr>
        <w:tc>
          <w:tcPr>
            <w:tcW w:w="540" w:type="dxa"/>
            <w:vAlign w:val="bottom"/>
            <w:gridSpan w:val="7"/>
          </w:tcPr>
          <w:p>
            <w:pPr>
              <w:jc w:val="center"/>
              <w:spacing w:after="0"/>
              <w:rPr>
                <w:rFonts w:ascii="Arial" w:cs="Arial" w:eastAsia="Arial" w:hAnsi="Arial"/>
                <w:sz w:val="18"/>
                <w:szCs w:val="18"/>
                <w:color w:val="auto"/>
                <w:w w:val="95"/>
              </w:rPr>
            </w:pPr>
            <w:hyperlink r:id="rId34">
              <w:r>
                <w:rPr>
                  <w:rFonts w:ascii="Arial" w:cs="Arial" w:eastAsia="Arial" w:hAnsi="Arial"/>
                  <w:sz w:val="18"/>
                  <w:szCs w:val="18"/>
                  <w:color w:val="auto"/>
                  <w:w w:val="95"/>
                </w:rPr>
                <w:t>10.</w:t>
              </w:r>
              <w:r>
                <w:rPr>
                  <w:rFonts w:ascii="Arial" w:cs="Arial" w:eastAsia="Arial" w:hAnsi="Arial"/>
                  <w:sz w:val="18"/>
                  <w:szCs w:val="18"/>
                  <w:u w:val="single" w:color="auto"/>
                  <w:color w:val="auto"/>
                  <w:w w:val="95"/>
                </w:rPr>
                <w:t>18*</w:t>
              </w:r>
            </w:hyperlink>
          </w:p>
        </w:tc>
        <w:tc>
          <w:tcPr>
            <w:tcW w:w="700" w:type="dxa"/>
            <w:vAlign w:val="bottom"/>
          </w:tcPr>
          <w:p>
            <w:pPr>
              <w:spacing w:after="0"/>
              <w:rPr>
                <w:sz w:val="24"/>
                <w:szCs w:val="24"/>
                <w:color w:val="auto"/>
              </w:rPr>
            </w:pPr>
          </w:p>
        </w:tc>
        <w:tc>
          <w:tcPr>
            <w:tcW w:w="8940" w:type="dxa"/>
            <w:vAlign w:val="bottom"/>
            <w:gridSpan w:val="13"/>
          </w:tcPr>
          <w:p>
            <w:pPr>
              <w:spacing w:after="0"/>
              <w:rPr>
                <w:rFonts w:ascii="Arial" w:cs="Arial" w:eastAsia="Arial" w:hAnsi="Arial"/>
                <w:sz w:val="18"/>
                <w:szCs w:val="18"/>
                <w:color w:val="auto"/>
                <w:w w:val="90"/>
              </w:rPr>
            </w:pPr>
            <w:hyperlink r:id="rId34">
              <w:r>
                <w:rPr>
                  <w:rFonts w:ascii="Arial" w:cs="Arial" w:eastAsia="Arial" w:hAnsi="Arial"/>
                  <w:sz w:val="18"/>
                  <w:szCs w:val="18"/>
                  <w:color w:val="auto"/>
                  <w:w w:val="90"/>
                </w:rPr>
                <w:t>Change in Control Agreement effective October 16, 2015 by and between the Company and Shane McCarthy, incorporated</w:t>
              </w:r>
            </w:hyperlink>
          </w:p>
        </w:tc>
      </w:tr>
      <w:tr>
        <w:trPr>
          <w:trHeight w:val="196"/>
        </w:trPr>
        <w:tc>
          <w:tcPr>
            <w:tcW w:w="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40" w:type="dxa"/>
            <w:vAlign w:val="bottom"/>
            <w:tcBorders>
              <w:top w:val="single" w:sz="8" w:color="auto"/>
              <w:bottom w:val="single" w:sz="8" w:color="auto"/>
            </w:tcBorders>
            <w:gridSpan w:val="11"/>
          </w:tcPr>
          <w:p>
            <w:pPr>
              <w:spacing w:after="0" w:line="196" w:lineRule="exact"/>
              <w:rPr>
                <w:rFonts w:ascii="Arial" w:cs="Arial" w:eastAsia="Arial" w:hAnsi="Arial"/>
                <w:sz w:val="18"/>
                <w:szCs w:val="18"/>
                <w:color w:val="auto"/>
                <w:w w:val="91"/>
              </w:rPr>
            </w:pPr>
            <w:hyperlink r:id="rId34">
              <w:r>
                <w:rPr>
                  <w:rFonts w:ascii="Arial" w:cs="Arial" w:eastAsia="Arial" w:hAnsi="Arial"/>
                  <w:sz w:val="18"/>
                  <w:szCs w:val="18"/>
                  <w:color w:val="auto"/>
                  <w:w w:val="91"/>
                </w:rPr>
                <w:t>by reference to Exhibit 10.1 to the Company’s Current Report on Form 8-K dated October 16, 2015.</w:t>
              </w:r>
            </w:hyperlink>
          </w:p>
        </w:tc>
        <w:tc>
          <w:tcPr>
            <w:tcW w:w="1700" w:type="dxa"/>
            <w:vAlign w:val="bottom"/>
            <w:tcBorders>
              <w:top w:val="single" w:sz="8" w:color="auto"/>
            </w:tcBorders>
            <w:gridSpan w:val="2"/>
          </w:tcPr>
          <w:p>
            <w:pPr>
              <w:spacing w:after="0"/>
              <w:rPr>
                <w:sz w:val="17"/>
                <w:szCs w:val="17"/>
                <w:color w:val="auto"/>
              </w:rPr>
            </w:pPr>
          </w:p>
        </w:tc>
      </w:tr>
      <w:tr>
        <w:trPr>
          <w:trHeight w:val="250"/>
        </w:trPr>
        <w:tc>
          <w:tcPr>
            <w:tcW w:w="480" w:type="dxa"/>
            <w:vAlign w:val="bottom"/>
            <w:gridSpan w:val="5"/>
          </w:tcPr>
          <w:p>
            <w:pPr>
              <w:jc w:val="center"/>
              <w:spacing w:after="0"/>
              <w:rPr>
                <w:rFonts w:ascii="Arial" w:cs="Arial" w:eastAsia="Arial" w:hAnsi="Arial"/>
                <w:sz w:val="18"/>
                <w:szCs w:val="18"/>
                <w:color w:val="auto"/>
                <w:w w:val="93"/>
              </w:rPr>
            </w:pPr>
            <w:hyperlink r:id="rId35">
              <w:r>
                <w:rPr>
                  <w:rFonts w:ascii="Arial" w:cs="Arial" w:eastAsia="Arial" w:hAnsi="Arial"/>
                  <w:sz w:val="18"/>
                  <w:szCs w:val="18"/>
                  <w:color w:val="auto"/>
                  <w:w w:val="93"/>
                </w:rPr>
                <w:t>10.</w:t>
              </w:r>
              <w:r>
                <w:rPr>
                  <w:rFonts w:ascii="Arial" w:cs="Arial" w:eastAsia="Arial" w:hAnsi="Arial"/>
                  <w:sz w:val="18"/>
                  <w:szCs w:val="18"/>
                  <w:u w:val="single" w:color="auto"/>
                  <w:color w:val="auto"/>
                  <w:w w:val="93"/>
                </w:rPr>
                <w:t>19</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13"/>
          </w:tcPr>
          <w:p>
            <w:pPr>
              <w:spacing w:after="0"/>
              <w:rPr>
                <w:rFonts w:ascii="Arial" w:cs="Arial" w:eastAsia="Arial" w:hAnsi="Arial"/>
                <w:sz w:val="18"/>
                <w:szCs w:val="18"/>
                <w:color w:val="auto"/>
                <w:w w:val="94"/>
              </w:rPr>
            </w:pPr>
            <w:hyperlink r:id="rId35">
              <w:r>
                <w:rPr>
                  <w:rFonts w:ascii="Arial" w:cs="Arial" w:eastAsia="Arial" w:hAnsi="Arial"/>
                  <w:sz w:val="18"/>
                  <w:szCs w:val="18"/>
                  <w:color w:val="auto"/>
                  <w:w w:val="94"/>
                </w:rPr>
                <w:t>Consent to Loan and Security Agreement dated March 7, 2016 between the Company and The PrivateBank and Trust</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auto"/>
            </w:tcBorders>
            <w:gridSpan w:val="13"/>
          </w:tcPr>
          <w:p>
            <w:pPr>
              <w:spacing w:after="0" w:line="196" w:lineRule="exact"/>
              <w:rPr>
                <w:rFonts w:ascii="Arial" w:cs="Arial" w:eastAsia="Arial" w:hAnsi="Arial"/>
                <w:sz w:val="18"/>
                <w:szCs w:val="18"/>
                <w:color w:val="auto"/>
              </w:rPr>
            </w:pPr>
            <w:hyperlink r:id="rId35">
              <w:r>
                <w:rPr>
                  <w:rFonts w:ascii="Arial" w:cs="Arial" w:eastAsia="Arial" w:hAnsi="Arial"/>
                  <w:sz w:val="18"/>
                  <w:szCs w:val="18"/>
                  <w:color w:val="auto"/>
                </w:rPr>
                <w:t>Company.</w:t>
              </w:r>
            </w:hyperlink>
          </w:p>
        </w:tc>
      </w:tr>
      <w:tr>
        <w:trPr>
          <w:trHeight w:val="20"/>
        </w:trPr>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80" w:type="dxa"/>
            <w:vAlign w:val="bottom"/>
            <w:gridSpan w:val="7"/>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480" w:type="dxa"/>
            <w:vAlign w:val="bottom"/>
            <w:gridSpan w:val="5"/>
          </w:tcPr>
          <w:p>
            <w:pPr>
              <w:jc w:val="center"/>
              <w:spacing w:after="0"/>
              <w:rPr>
                <w:rFonts w:ascii="Arial" w:cs="Arial" w:eastAsia="Arial" w:hAnsi="Arial"/>
                <w:sz w:val="18"/>
                <w:szCs w:val="18"/>
                <w:color w:val="auto"/>
                <w:w w:val="93"/>
              </w:rPr>
            </w:pPr>
            <w:hyperlink r:id="rId36">
              <w:r>
                <w:rPr>
                  <w:rFonts w:ascii="Arial" w:cs="Arial" w:eastAsia="Arial" w:hAnsi="Arial"/>
                  <w:sz w:val="18"/>
                  <w:szCs w:val="18"/>
                  <w:color w:val="auto"/>
                  <w:w w:val="93"/>
                </w:rPr>
                <w:t>10.</w:t>
              </w:r>
              <w:r>
                <w:rPr>
                  <w:rFonts w:ascii="Arial" w:cs="Arial" w:eastAsia="Arial" w:hAnsi="Arial"/>
                  <w:sz w:val="18"/>
                  <w:szCs w:val="18"/>
                  <w:u w:val="single" w:color="auto"/>
                  <w:color w:val="auto"/>
                  <w:w w:val="93"/>
                </w:rPr>
                <w:t>20</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13"/>
          </w:tcPr>
          <w:p>
            <w:pPr>
              <w:spacing w:after="0"/>
              <w:rPr>
                <w:rFonts w:ascii="Arial" w:cs="Arial" w:eastAsia="Arial" w:hAnsi="Arial"/>
                <w:sz w:val="18"/>
                <w:szCs w:val="18"/>
                <w:color w:val="auto"/>
                <w:w w:val="91"/>
              </w:rPr>
            </w:pPr>
            <w:hyperlink r:id="rId36">
              <w:r>
                <w:rPr>
                  <w:rFonts w:ascii="Arial" w:cs="Arial" w:eastAsia="Arial" w:hAnsi="Arial"/>
                  <w:sz w:val="18"/>
                  <w:szCs w:val="18"/>
                  <w:color w:val="auto"/>
                  <w:w w:val="91"/>
                </w:rPr>
                <w:t>Fourth Amendment to Loan and Security Agreement dated April 11, 2016 between the Company and The PrivateBank and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auto"/>
              <w:bottom w:val="single" w:sz="8" w:color="auto"/>
            </w:tcBorders>
            <w:gridSpan w:val="13"/>
          </w:tcPr>
          <w:p>
            <w:pPr>
              <w:spacing w:after="0" w:line="196" w:lineRule="exact"/>
              <w:rPr>
                <w:rFonts w:ascii="Arial" w:cs="Arial" w:eastAsia="Arial" w:hAnsi="Arial"/>
                <w:sz w:val="18"/>
                <w:szCs w:val="18"/>
                <w:color w:val="auto"/>
                <w:w w:val="91"/>
              </w:rPr>
            </w:pPr>
            <w:hyperlink r:id="rId36">
              <w:r>
                <w:rPr>
                  <w:rFonts w:ascii="Arial" w:cs="Arial" w:eastAsia="Arial" w:hAnsi="Arial"/>
                  <w:sz w:val="18"/>
                  <w:szCs w:val="18"/>
                  <w:color w:val="auto"/>
                  <w:w w:val="91"/>
                </w:rPr>
                <w:t>Trust Company incorporated herein by reference to Exhibit 10.1 to the Company's Current Report on Form 8-K dated April</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Borders>
              <w:bottom w:val="single" w:sz="8" w:color="auto"/>
            </w:tcBorders>
          </w:tcPr>
          <w:p>
            <w:pPr>
              <w:spacing w:after="0" w:line="196" w:lineRule="exact"/>
              <w:rPr>
                <w:rFonts w:ascii="Arial" w:cs="Arial" w:eastAsia="Arial" w:hAnsi="Arial"/>
                <w:sz w:val="18"/>
                <w:szCs w:val="18"/>
                <w:color w:val="auto"/>
                <w:w w:val="87"/>
              </w:rPr>
            </w:pPr>
            <w:hyperlink r:id="rId36">
              <w:r>
                <w:rPr>
                  <w:rFonts w:ascii="Arial" w:cs="Arial" w:eastAsia="Arial" w:hAnsi="Arial"/>
                  <w:sz w:val="18"/>
                  <w:szCs w:val="18"/>
                  <w:color w:val="auto"/>
                  <w:w w:val="87"/>
                </w:rPr>
                <w:t>11, 2016.</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50"/>
        </w:trPr>
        <w:tc>
          <w:tcPr>
            <w:tcW w:w="480" w:type="dxa"/>
            <w:vAlign w:val="bottom"/>
            <w:gridSpan w:val="5"/>
          </w:tcPr>
          <w:p>
            <w:pPr>
              <w:jc w:val="center"/>
              <w:spacing w:after="0"/>
              <w:rPr>
                <w:rFonts w:ascii="Arial" w:cs="Arial" w:eastAsia="Arial" w:hAnsi="Arial"/>
                <w:sz w:val="18"/>
                <w:szCs w:val="18"/>
                <w:color w:val="auto"/>
                <w:w w:val="93"/>
              </w:rPr>
            </w:pPr>
            <w:hyperlink r:id="rId37">
              <w:r>
                <w:rPr>
                  <w:rFonts w:ascii="Arial" w:cs="Arial" w:eastAsia="Arial" w:hAnsi="Arial"/>
                  <w:sz w:val="18"/>
                  <w:szCs w:val="18"/>
                  <w:color w:val="auto"/>
                  <w:w w:val="93"/>
                </w:rPr>
                <w:t>10.</w:t>
              </w:r>
              <w:r>
                <w:rPr>
                  <w:rFonts w:ascii="Arial" w:cs="Arial" w:eastAsia="Arial" w:hAnsi="Arial"/>
                  <w:sz w:val="18"/>
                  <w:szCs w:val="18"/>
                  <w:u w:val="single" w:color="auto"/>
                  <w:color w:val="auto"/>
                  <w:w w:val="93"/>
                </w:rPr>
                <w:t>21</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13"/>
          </w:tcPr>
          <w:p>
            <w:pPr>
              <w:spacing w:after="0"/>
              <w:rPr>
                <w:rFonts w:ascii="Arial" w:cs="Arial" w:eastAsia="Arial" w:hAnsi="Arial"/>
                <w:sz w:val="18"/>
                <w:szCs w:val="18"/>
                <w:color w:val="auto"/>
                <w:w w:val="92"/>
              </w:rPr>
            </w:pPr>
            <w:hyperlink r:id="rId37">
              <w:r>
                <w:rPr>
                  <w:rFonts w:ascii="Arial" w:cs="Arial" w:eastAsia="Arial" w:hAnsi="Arial"/>
                  <w:sz w:val="18"/>
                  <w:szCs w:val="18"/>
                  <w:color w:val="auto"/>
                  <w:w w:val="92"/>
                </w:rPr>
                <w:t>Fifth Amendment to Loan and Security Agreement dated June 30, 2016 between the Company and The PrivateBank and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auto"/>
              <w:bottom w:val="single" w:sz="8" w:color="auto"/>
            </w:tcBorders>
            <w:gridSpan w:val="13"/>
          </w:tcPr>
          <w:p>
            <w:pPr>
              <w:spacing w:after="0" w:line="196" w:lineRule="exact"/>
              <w:rPr>
                <w:rFonts w:ascii="Arial" w:cs="Arial" w:eastAsia="Arial" w:hAnsi="Arial"/>
                <w:sz w:val="18"/>
                <w:szCs w:val="18"/>
                <w:color w:val="auto"/>
                <w:w w:val="91"/>
              </w:rPr>
            </w:pPr>
            <w:hyperlink r:id="rId37">
              <w:r>
                <w:rPr>
                  <w:rFonts w:ascii="Arial" w:cs="Arial" w:eastAsia="Arial" w:hAnsi="Arial"/>
                  <w:sz w:val="18"/>
                  <w:szCs w:val="18"/>
                  <w:color w:val="auto"/>
                  <w:w w:val="91"/>
                </w:rPr>
                <w:t>Trust Company incorporated herein by reference to Exhibit 10.1 to the Company's Current Report on Form 8-K dated June</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Borders>
              <w:bottom w:val="single" w:sz="8" w:color="auto"/>
            </w:tcBorders>
            <w:gridSpan w:val="2"/>
          </w:tcPr>
          <w:p>
            <w:pPr>
              <w:spacing w:after="0" w:line="196" w:lineRule="exact"/>
              <w:rPr>
                <w:rFonts w:ascii="Arial" w:cs="Arial" w:eastAsia="Arial" w:hAnsi="Arial"/>
                <w:sz w:val="18"/>
                <w:szCs w:val="18"/>
                <w:color w:val="auto"/>
                <w:w w:val="90"/>
              </w:rPr>
            </w:pPr>
            <w:hyperlink r:id="rId37">
              <w:r>
                <w:rPr>
                  <w:rFonts w:ascii="Arial" w:cs="Arial" w:eastAsia="Arial" w:hAnsi="Arial"/>
                  <w:sz w:val="18"/>
                  <w:szCs w:val="18"/>
                  <w:color w:val="auto"/>
                  <w:w w:val="90"/>
                </w:rPr>
                <w:t>30, 2016.</w:t>
              </w:r>
            </w:hyperlink>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50"/>
        </w:trPr>
        <w:tc>
          <w:tcPr>
            <w:tcW w:w="480" w:type="dxa"/>
            <w:vAlign w:val="bottom"/>
            <w:gridSpan w:val="5"/>
          </w:tcPr>
          <w:p>
            <w:pPr>
              <w:jc w:val="center"/>
              <w:spacing w:after="0"/>
              <w:rPr>
                <w:rFonts w:ascii="Arial" w:cs="Arial" w:eastAsia="Arial" w:hAnsi="Arial"/>
                <w:sz w:val="18"/>
                <w:szCs w:val="18"/>
                <w:color w:val="auto"/>
                <w:w w:val="93"/>
              </w:rPr>
            </w:pPr>
            <w:hyperlink r:id="rId38">
              <w:r>
                <w:rPr>
                  <w:rFonts w:ascii="Arial" w:cs="Arial" w:eastAsia="Arial" w:hAnsi="Arial"/>
                  <w:sz w:val="18"/>
                  <w:szCs w:val="18"/>
                  <w:color w:val="auto"/>
                  <w:w w:val="93"/>
                </w:rPr>
                <w:t>10.</w:t>
              </w:r>
              <w:r>
                <w:rPr>
                  <w:rFonts w:ascii="Arial" w:cs="Arial" w:eastAsia="Arial" w:hAnsi="Arial"/>
                  <w:sz w:val="18"/>
                  <w:szCs w:val="18"/>
                  <w:u w:val="single" w:color="auto"/>
                  <w:color w:val="auto"/>
                  <w:w w:val="93"/>
                </w:rPr>
                <w:t>22</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13"/>
          </w:tcPr>
          <w:p>
            <w:pPr>
              <w:spacing w:after="0"/>
              <w:rPr>
                <w:rFonts w:ascii="Arial" w:cs="Arial" w:eastAsia="Arial" w:hAnsi="Arial"/>
                <w:sz w:val="18"/>
                <w:szCs w:val="18"/>
                <w:color w:val="auto"/>
                <w:w w:val="90"/>
              </w:rPr>
            </w:pPr>
            <w:hyperlink r:id="rId38">
              <w:r>
                <w:rPr>
                  <w:rFonts w:ascii="Arial" w:cs="Arial" w:eastAsia="Arial" w:hAnsi="Arial"/>
                  <w:sz w:val="18"/>
                  <w:szCs w:val="18"/>
                  <w:color w:val="auto"/>
                  <w:w w:val="90"/>
                </w:rPr>
                <w:t>Sixth Amendment to Loan and Security Agreement dated September 30, 2016 between the Company and The PrivateBank</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auto"/>
              <w:bottom w:val="single" w:sz="8" w:color="auto"/>
            </w:tcBorders>
            <w:gridSpan w:val="13"/>
          </w:tcPr>
          <w:p>
            <w:pPr>
              <w:spacing w:after="0" w:line="196" w:lineRule="exact"/>
              <w:rPr>
                <w:rFonts w:ascii="Arial" w:cs="Arial" w:eastAsia="Arial" w:hAnsi="Arial"/>
                <w:sz w:val="18"/>
                <w:szCs w:val="18"/>
                <w:color w:val="auto"/>
                <w:w w:val="92"/>
              </w:rPr>
            </w:pPr>
            <w:hyperlink r:id="rId38">
              <w:r>
                <w:rPr>
                  <w:rFonts w:ascii="Arial" w:cs="Arial" w:eastAsia="Arial" w:hAnsi="Arial"/>
                  <w:sz w:val="18"/>
                  <w:szCs w:val="18"/>
                  <w:color w:val="auto"/>
                  <w:w w:val="92"/>
                </w:rPr>
                <w:t>and Trust Company incorporated herein by reference to Exhibit 10.1 to the Company's Current Report on Form 8-K dated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00" w:type="dxa"/>
            <w:vAlign w:val="bottom"/>
            <w:tcBorders>
              <w:bottom w:val="single" w:sz="8" w:color="auto"/>
            </w:tcBorders>
            <w:gridSpan w:val="8"/>
          </w:tcPr>
          <w:p>
            <w:pPr>
              <w:spacing w:after="0" w:line="196" w:lineRule="exact"/>
              <w:rPr>
                <w:rFonts w:ascii="Arial" w:cs="Arial" w:eastAsia="Arial" w:hAnsi="Arial"/>
                <w:sz w:val="18"/>
                <w:szCs w:val="18"/>
                <w:color w:val="auto"/>
                <w:w w:val="88"/>
              </w:rPr>
            </w:pPr>
            <w:hyperlink r:id="rId38">
              <w:r>
                <w:rPr>
                  <w:rFonts w:ascii="Arial" w:cs="Arial" w:eastAsia="Arial" w:hAnsi="Arial"/>
                  <w:sz w:val="18"/>
                  <w:szCs w:val="18"/>
                  <w:color w:val="auto"/>
                  <w:w w:val="88"/>
                </w:rPr>
                <w:t>September 30, 2016.</w:t>
              </w:r>
            </w:hyperlink>
          </w:p>
        </w:tc>
        <w:tc>
          <w:tcPr>
            <w:tcW w:w="7440" w:type="dxa"/>
            <w:vAlign w:val="bottom"/>
            <w:gridSpan w:val="5"/>
          </w:tcPr>
          <w:p>
            <w:pPr>
              <w:spacing w:after="0"/>
              <w:rPr>
                <w:sz w:val="17"/>
                <w:szCs w:val="17"/>
                <w:color w:val="auto"/>
              </w:rPr>
            </w:pPr>
          </w:p>
        </w:tc>
      </w:tr>
      <w:tr>
        <w:trPr>
          <w:trHeight w:val="250"/>
        </w:trPr>
        <w:tc>
          <w:tcPr>
            <w:tcW w:w="480" w:type="dxa"/>
            <w:vAlign w:val="bottom"/>
            <w:gridSpan w:val="5"/>
          </w:tcPr>
          <w:p>
            <w:pPr>
              <w:jc w:val="center"/>
              <w:spacing w:after="0"/>
              <w:rPr>
                <w:rFonts w:ascii="Arial" w:cs="Arial" w:eastAsia="Arial" w:hAnsi="Arial"/>
                <w:sz w:val="18"/>
                <w:szCs w:val="18"/>
                <w:color w:val="auto"/>
                <w:w w:val="93"/>
              </w:rPr>
            </w:pPr>
            <w:hyperlink r:id="rId39">
              <w:r>
                <w:rPr>
                  <w:rFonts w:ascii="Arial" w:cs="Arial" w:eastAsia="Arial" w:hAnsi="Arial"/>
                  <w:sz w:val="18"/>
                  <w:szCs w:val="18"/>
                  <w:color w:val="auto"/>
                  <w:w w:val="93"/>
                </w:rPr>
                <w:t>10.</w:t>
              </w:r>
              <w:r>
                <w:rPr>
                  <w:rFonts w:ascii="Arial" w:cs="Arial" w:eastAsia="Arial" w:hAnsi="Arial"/>
                  <w:sz w:val="18"/>
                  <w:szCs w:val="18"/>
                  <w:u w:val="single" w:color="auto"/>
                  <w:color w:val="auto"/>
                  <w:w w:val="93"/>
                </w:rPr>
                <w:t>23</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13"/>
          </w:tcPr>
          <w:p>
            <w:pPr>
              <w:spacing w:after="0"/>
              <w:rPr>
                <w:rFonts w:ascii="Arial" w:cs="Arial" w:eastAsia="Arial" w:hAnsi="Arial"/>
                <w:sz w:val="18"/>
                <w:szCs w:val="18"/>
                <w:color w:val="auto"/>
                <w:w w:val="89"/>
              </w:rPr>
            </w:pPr>
            <w:hyperlink r:id="rId39">
              <w:r>
                <w:rPr>
                  <w:rFonts w:ascii="Arial" w:cs="Arial" w:eastAsia="Arial" w:hAnsi="Arial"/>
                  <w:sz w:val="18"/>
                  <w:szCs w:val="18"/>
                  <w:color w:val="auto"/>
                  <w:w w:val="89"/>
                </w:rPr>
                <w:t>Seventh Amendment to Loan and Security Agreement dated February 14, 2017 between the Company and The PrivateBank</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auto"/>
              <w:bottom w:val="single" w:sz="8" w:color="auto"/>
            </w:tcBorders>
            <w:gridSpan w:val="13"/>
          </w:tcPr>
          <w:p>
            <w:pPr>
              <w:spacing w:after="0" w:line="196" w:lineRule="exact"/>
              <w:rPr>
                <w:rFonts w:ascii="Arial" w:cs="Arial" w:eastAsia="Arial" w:hAnsi="Arial"/>
                <w:sz w:val="18"/>
                <w:szCs w:val="18"/>
                <w:color w:val="auto"/>
                <w:w w:val="92"/>
              </w:rPr>
            </w:pPr>
            <w:hyperlink r:id="rId39">
              <w:r>
                <w:rPr>
                  <w:rFonts w:ascii="Arial" w:cs="Arial" w:eastAsia="Arial" w:hAnsi="Arial"/>
                  <w:sz w:val="18"/>
                  <w:szCs w:val="18"/>
                  <w:color w:val="auto"/>
                  <w:w w:val="92"/>
                </w:rPr>
                <w:t>and Trust Company incorporated herein by reference to Exhibit 10.1 to the Company's Current Report on Form 8-K dated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Borders>
              <w:bottom w:val="single" w:sz="8" w:color="auto"/>
            </w:tcBorders>
            <w:gridSpan w:val="6"/>
          </w:tcPr>
          <w:p>
            <w:pPr>
              <w:spacing w:after="0" w:line="196" w:lineRule="exact"/>
              <w:rPr>
                <w:rFonts w:ascii="Arial" w:cs="Arial" w:eastAsia="Arial" w:hAnsi="Arial"/>
                <w:sz w:val="18"/>
                <w:szCs w:val="18"/>
                <w:color w:val="auto"/>
                <w:w w:val="89"/>
              </w:rPr>
            </w:pPr>
            <w:hyperlink r:id="rId39">
              <w:r>
                <w:rPr>
                  <w:rFonts w:ascii="Arial" w:cs="Arial" w:eastAsia="Arial" w:hAnsi="Arial"/>
                  <w:sz w:val="18"/>
                  <w:szCs w:val="18"/>
                  <w:color w:val="auto"/>
                  <w:w w:val="89"/>
                </w:rPr>
                <w:t>February 14, 2017.</w:t>
              </w:r>
            </w:hyperlink>
          </w:p>
        </w:tc>
        <w:tc>
          <w:tcPr>
            <w:tcW w:w="7560" w:type="dxa"/>
            <w:vAlign w:val="bottom"/>
            <w:gridSpan w:val="7"/>
          </w:tcPr>
          <w:p>
            <w:pPr>
              <w:spacing w:after="0"/>
              <w:rPr>
                <w:sz w:val="17"/>
                <w:szCs w:val="17"/>
                <w:color w:val="auto"/>
              </w:rPr>
            </w:pPr>
          </w:p>
        </w:tc>
      </w:tr>
      <w:tr>
        <w:trPr>
          <w:trHeight w:val="250"/>
        </w:trPr>
        <w:tc>
          <w:tcPr>
            <w:tcW w:w="480" w:type="dxa"/>
            <w:vAlign w:val="bottom"/>
            <w:gridSpan w:val="5"/>
          </w:tcPr>
          <w:p>
            <w:pPr>
              <w:jc w:val="center"/>
              <w:spacing w:after="0"/>
              <w:rPr>
                <w:rFonts w:ascii="Arial" w:cs="Arial" w:eastAsia="Arial" w:hAnsi="Arial"/>
                <w:sz w:val="18"/>
                <w:szCs w:val="18"/>
                <w:color w:val="auto"/>
                <w:w w:val="93"/>
              </w:rPr>
            </w:pPr>
            <w:hyperlink r:id="rId40">
              <w:r>
                <w:rPr>
                  <w:rFonts w:ascii="Arial" w:cs="Arial" w:eastAsia="Arial" w:hAnsi="Arial"/>
                  <w:sz w:val="18"/>
                  <w:szCs w:val="18"/>
                  <w:color w:val="auto"/>
                  <w:w w:val="93"/>
                </w:rPr>
                <w:t>10.</w:t>
              </w:r>
              <w:r>
                <w:rPr>
                  <w:rFonts w:ascii="Arial" w:cs="Arial" w:eastAsia="Arial" w:hAnsi="Arial"/>
                  <w:sz w:val="18"/>
                  <w:szCs w:val="18"/>
                  <w:u w:val="single" w:color="auto"/>
                  <w:color w:val="auto"/>
                  <w:w w:val="93"/>
                </w:rPr>
                <w:t>24</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13"/>
          </w:tcPr>
          <w:p>
            <w:pPr>
              <w:spacing w:after="0"/>
              <w:rPr>
                <w:rFonts w:ascii="Arial" w:cs="Arial" w:eastAsia="Arial" w:hAnsi="Arial"/>
                <w:sz w:val="18"/>
                <w:szCs w:val="18"/>
                <w:color w:val="auto"/>
                <w:w w:val="93"/>
              </w:rPr>
            </w:pPr>
            <w:hyperlink r:id="rId40">
              <w:r>
                <w:rPr>
                  <w:rFonts w:ascii="Arial" w:cs="Arial" w:eastAsia="Arial" w:hAnsi="Arial"/>
                  <w:sz w:val="18"/>
                  <w:szCs w:val="18"/>
                  <w:color w:val="auto"/>
                  <w:w w:val="93"/>
                </w:rPr>
                <w:t>Eighth Amendment to Loan and Security Agreement dated March 30, 2017 between the Company and The PrivateBank</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auto"/>
              <w:bottom w:val="single" w:sz="8" w:color="auto"/>
            </w:tcBorders>
            <w:gridSpan w:val="13"/>
          </w:tcPr>
          <w:p>
            <w:pPr>
              <w:spacing w:after="0" w:line="196" w:lineRule="exact"/>
              <w:rPr>
                <w:rFonts w:ascii="Arial" w:cs="Arial" w:eastAsia="Arial" w:hAnsi="Arial"/>
                <w:sz w:val="18"/>
                <w:szCs w:val="18"/>
                <w:color w:val="auto"/>
                <w:w w:val="92"/>
              </w:rPr>
            </w:pPr>
            <w:hyperlink r:id="rId40">
              <w:r>
                <w:rPr>
                  <w:rFonts w:ascii="Arial" w:cs="Arial" w:eastAsia="Arial" w:hAnsi="Arial"/>
                  <w:sz w:val="18"/>
                  <w:szCs w:val="18"/>
                  <w:color w:val="auto"/>
                  <w:w w:val="92"/>
                </w:rPr>
                <w:t>and Trust Company incorporated herein by reference to Exhibit 10.1 to the Company's Current Report on Form 8-K dated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Borders>
              <w:bottom w:val="single" w:sz="8" w:color="auto"/>
            </w:tcBorders>
            <w:gridSpan w:val="4"/>
          </w:tcPr>
          <w:p>
            <w:pPr>
              <w:spacing w:after="0" w:line="196" w:lineRule="exact"/>
              <w:rPr>
                <w:rFonts w:ascii="Arial" w:cs="Arial" w:eastAsia="Arial" w:hAnsi="Arial"/>
                <w:sz w:val="18"/>
                <w:szCs w:val="18"/>
                <w:color w:val="auto"/>
                <w:w w:val="90"/>
              </w:rPr>
            </w:pPr>
            <w:hyperlink r:id="rId40">
              <w:r>
                <w:rPr>
                  <w:rFonts w:ascii="Arial" w:cs="Arial" w:eastAsia="Arial" w:hAnsi="Arial"/>
                  <w:sz w:val="18"/>
                  <w:szCs w:val="18"/>
                  <w:color w:val="auto"/>
                  <w:w w:val="90"/>
                </w:rPr>
                <w:t>March 30, 2017.</w:t>
              </w:r>
            </w:hyperlink>
          </w:p>
        </w:tc>
        <w:tc>
          <w:tcPr>
            <w:tcW w:w="7740" w:type="dxa"/>
            <w:vAlign w:val="bottom"/>
            <w:gridSpan w:val="9"/>
          </w:tcPr>
          <w:p>
            <w:pPr>
              <w:spacing w:after="0"/>
              <w:rPr>
                <w:sz w:val="17"/>
                <w:szCs w:val="17"/>
                <w:color w:val="auto"/>
              </w:rPr>
            </w:pPr>
          </w:p>
        </w:tc>
      </w:tr>
      <w:tr>
        <w:trPr>
          <w:trHeight w:val="466"/>
        </w:trPr>
        <w:tc>
          <w:tcPr>
            <w:tcW w:w="60" w:type="dxa"/>
            <w:vAlign w:val="bottom"/>
            <w:gridSpan w:val="2"/>
          </w:tcPr>
          <w:p>
            <w:pPr>
              <w:spacing w:after="0"/>
              <w:rPr>
                <w:sz w:val="24"/>
                <w:szCs w:val="24"/>
                <w:color w:val="auto"/>
              </w:rPr>
            </w:pPr>
          </w:p>
        </w:tc>
        <w:tc>
          <w:tcPr>
            <w:tcW w:w="420" w:type="dxa"/>
            <w:vAlign w:val="bottom"/>
            <w:tcBorders>
              <w:bottom w:val="single" w:sz="8" w:color="auto"/>
            </w:tcBorders>
            <w:gridSpan w:val="3"/>
          </w:tcPr>
          <w:p>
            <w:pPr>
              <w:jc w:val="center"/>
              <w:spacing w:after="0"/>
              <w:rPr>
                <w:rFonts w:ascii="Arial" w:cs="Arial" w:eastAsia="Arial" w:hAnsi="Arial"/>
                <w:sz w:val="18"/>
                <w:szCs w:val="18"/>
                <w:color w:val="auto"/>
                <w:w w:val="93"/>
              </w:rPr>
            </w:pPr>
            <w:hyperlink w:anchor="page76">
              <w:r>
                <w:rPr>
                  <w:rFonts w:ascii="Arial" w:cs="Arial" w:eastAsia="Arial" w:hAnsi="Arial"/>
                  <w:sz w:val="18"/>
                  <w:szCs w:val="18"/>
                  <w:color w:val="auto"/>
                  <w:w w:val="93"/>
                </w:rPr>
                <w:t>10.</w:t>
              </w:r>
              <w:r>
                <w:rPr>
                  <w:rFonts w:ascii="Arial" w:cs="Arial" w:eastAsia="Arial" w:hAnsi="Arial"/>
                  <w:sz w:val="18"/>
                  <w:szCs w:val="18"/>
                  <w:u w:val="single" w:color="auto"/>
                  <w:color w:val="auto"/>
                  <w:w w:val="93"/>
                </w:rPr>
                <w:t>25</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60" w:type="dxa"/>
            <w:vAlign w:val="bottom"/>
            <w:tcBorders>
              <w:bottom w:val="single" w:sz="8" w:color="auto"/>
            </w:tcBorders>
            <w:gridSpan w:val="12"/>
          </w:tcPr>
          <w:p>
            <w:pPr>
              <w:spacing w:after="0"/>
              <w:rPr>
                <w:rFonts w:ascii="Arial" w:cs="Arial" w:eastAsia="Arial" w:hAnsi="Arial"/>
                <w:sz w:val="18"/>
                <w:szCs w:val="18"/>
                <w:color w:val="auto"/>
                <w:w w:val="91"/>
              </w:rPr>
            </w:pPr>
            <w:hyperlink w:anchor="page76">
              <w:r>
                <w:rPr>
                  <w:rFonts w:ascii="Arial" w:cs="Arial" w:eastAsia="Arial" w:hAnsi="Arial"/>
                  <w:sz w:val="18"/>
                  <w:szCs w:val="18"/>
                  <w:color w:val="auto"/>
                  <w:w w:val="91"/>
                </w:rPr>
                <w:t>Commitment Letter between The Bolt Supply House Ltd. and Bank of Montreal dated March 30, 2017.</w:t>
              </w:r>
            </w:hyperlink>
          </w:p>
        </w:tc>
        <w:tc>
          <w:tcPr>
            <w:tcW w:w="1480" w:type="dxa"/>
            <w:vAlign w:val="bottom"/>
          </w:tcPr>
          <w:p>
            <w:pPr>
              <w:spacing w:after="0"/>
              <w:rPr>
                <w:sz w:val="24"/>
                <w:szCs w:val="24"/>
                <w:color w:val="auto"/>
              </w:rPr>
            </w:pPr>
          </w:p>
        </w:tc>
      </w:tr>
      <w:tr>
        <w:trPr>
          <w:trHeight w:val="250"/>
        </w:trPr>
        <w:tc>
          <w:tcPr>
            <w:tcW w:w="540" w:type="dxa"/>
            <w:vAlign w:val="bottom"/>
            <w:tcBorders>
              <w:bottom w:val="single" w:sz="8" w:color="auto"/>
            </w:tcBorders>
            <w:gridSpan w:val="7"/>
          </w:tcPr>
          <w:p>
            <w:pPr>
              <w:jc w:val="center"/>
              <w:spacing w:after="0"/>
              <w:rPr>
                <w:rFonts w:ascii="Arial" w:cs="Arial" w:eastAsia="Arial" w:hAnsi="Arial"/>
                <w:sz w:val="18"/>
                <w:szCs w:val="18"/>
                <w:color w:val="auto"/>
                <w:w w:val="94"/>
              </w:rPr>
            </w:pPr>
            <w:hyperlink r:id="rId41">
              <w:r>
                <w:rPr>
                  <w:rFonts w:ascii="Arial" w:cs="Arial" w:eastAsia="Arial" w:hAnsi="Arial"/>
                  <w:sz w:val="18"/>
                  <w:szCs w:val="18"/>
                  <w:color w:val="auto"/>
                  <w:w w:val="94"/>
                </w:rPr>
                <w:t>10.</w:t>
              </w:r>
              <w:r>
                <w:rPr>
                  <w:rFonts w:ascii="Arial" w:cs="Arial" w:eastAsia="Arial" w:hAnsi="Arial"/>
                  <w:sz w:val="18"/>
                  <w:szCs w:val="18"/>
                  <w:u w:val="single" w:color="auto"/>
                  <w:color w:val="auto"/>
                  <w:w w:val="94"/>
                </w:rPr>
                <w:t>26</w:t>
              </w:r>
              <w:r>
                <w:rPr>
                  <w:rFonts w:ascii="Arial" w:cs="Arial" w:eastAsia="Arial" w:hAnsi="Arial"/>
                  <w:sz w:val="18"/>
                  <w:szCs w:val="18"/>
                  <w:color w:val="auto"/>
                  <w:w w:val="94"/>
                </w:rPr>
                <w:t xml:space="preserve"> *</w:t>
              </w:r>
            </w:hyperlink>
          </w:p>
        </w:tc>
        <w:tc>
          <w:tcPr>
            <w:tcW w:w="700" w:type="dxa"/>
            <w:vAlign w:val="bottom"/>
          </w:tcPr>
          <w:p>
            <w:pPr>
              <w:spacing w:after="0"/>
              <w:rPr>
                <w:sz w:val="21"/>
                <w:szCs w:val="21"/>
                <w:color w:val="auto"/>
              </w:rPr>
            </w:pPr>
          </w:p>
        </w:tc>
        <w:tc>
          <w:tcPr>
            <w:tcW w:w="8940" w:type="dxa"/>
            <w:vAlign w:val="bottom"/>
            <w:tcBorders>
              <w:bottom w:val="single" w:sz="8" w:color="auto"/>
            </w:tcBorders>
            <w:gridSpan w:val="13"/>
          </w:tcPr>
          <w:p>
            <w:pPr>
              <w:spacing w:after="0"/>
              <w:rPr>
                <w:rFonts w:ascii="Arial" w:cs="Arial" w:eastAsia="Arial" w:hAnsi="Arial"/>
                <w:sz w:val="18"/>
                <w:szCs w:val="18"/>
                <w:color w:val="auto"/>
                <w:w w:val="93"/>
              </w:rPr>
            </w:pPr>
            <w:hyperlink r:id="rId41">
              <w:r>
                <w:rPr>
                  <w:rFonts w:ascii="Arial" w:cs="Arial" w:eastAsia="Arial" w:hAnsi="Arial"/>
                  <w:sz w:val="18"/>
                  <w:szCs w:val="18"/>
                  <w:color w:val="auto"/>
                  <w:w w:val="93"/>
                </w:rPr>
                <w:t>Employment Agreement dated as of August 14, 2017 by and between Lawson Products, Inc., an Illinois corporation, and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bottom w:val="single" w:sz="8" w:color="auto"/>
            </w:tcBorders>
            <w:gridSpan w:val="13"/>
          </w:tcPr>
          <w:p>
            <w:pPr>
              <w:spacing w:after="0" w:line="196" w:lineRule="exact"/>
              <w:rPr>
                <w:rFonts w:ascii="Arial" w:cs="Arial" w:eastAsia="Arial" w:hAnsi="Arial"/>
                <w:sz w:val="18"/>
                <w:szCs w:val="18"/>
                <w:color w:val="auto"/>
                <w:w w:val="92"/>
              </w:rPr>
            </w:pPr>
            <w:hyperlink r:id="rId41">
              <w:r>
                <w:rPr>
                  <w:rFonts w:ascii="Arial" w:cs="Arial" w:eastAsia="Arial" w:hAnsi="Arial"/>
                  <w:sz w:val="18"/>
                  <w:szCs w:val="18"/>
                  <w:color w:val="auto"/>
                  <w:w w:val="92"/>
                </w:rPr>
                <w:t>Michael G. DeCata, incorporated herein by reference to Exhibit 10.1 to the Company's Current Report on Form 8-K dated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gridSpan w:val="13"/>
          </w:tcPr>
          <w:p>
            <w:pPr>
              <w:spacing w:after="0" w:line="196" w:lineRule="exact"/>
              <w:rPr>
                <w:rFonts w:ascii="Arial" w:cs="Arial" w:eastAsia="Arial" w:hAnsi="Arial"/>
                <w:sz w:val="18"/>
                <w:szCs w:val="18"/>
                <w:color w:val="auto"/>
              </w:rPr>
            </w:pPr>
            <w:hyperlink r:id="rId41">
              <w:r>
                <w:rPr>
                  <w:rFonts w:ascii="Arial" w:cs="Arial" w:eastAsia="Arial" w:hAnsi="Arial"/>
                  <w:sz w:val="18"/>
                  <w:szCs w:val="18"/>
                  <w:color w:val="auto"/>
                </w:rPr>
                <w:t>August 14, 2017.</w:t>
              </w:r>
            </w:hyperlink>
          </w:p>
        </w:tc>
      </w:tr>
      <w:tr>
        <w:trPr>
          <w:trHeight w:val="723"/>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Borders>
              <w:top w:val="single" w:sz="8" w:color="auto"/>
            </w:tcBorders>
            <w:gridSpan w:val="5"/>
          </w:tcPr>
          <w:p>
            <w:pPr>
              <w:spacing w:after="0"/>
              <w:rPr>
                <w:sz w:val="24"/>
                <w:szCs w:val="24"/>
                <w:color w:val="auto"/>
              </w:rPr>
            </w:pPr>
          </w:p>
        </w:tc>
        <w:tc>
          <w:tcPr>
            <w:tcW w:w="4560" w:type="dxa"/>
            <w:vAlign w:val="bottom"/>
            <w:gridSpan w:val="5"/>
          </w:tcPr>
          <w:p>
            <w:pPr>
              <w:jc w:val="center"/>
              <w:ind w:left="970"/>
              <w:spacing w:after="0"/>
              <w:rPr>
                <w:sz w:val="20"/>
                <w:szCs w:val="20"/>
                <w:color w:val="auto"/>
              </w:rPr>
            </w:pPr>
            <w:r>
              <w:rPr>
                <w:rFonts w:ascii="Arial" w:cs="Arial" w:eastAsia="Arial" w:hAnsi="Arial"/>
                <w:sz w:val="18"/>
                <w:szCs w:val="18"/>
                <w:color w:val="auto"/>
                <w:w w:val="89"/>
              </w:rPr>
              <w:t>62</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0180"/>
          </w:cols>
          <w:pgMar w:left="620" w:top="121" w:right="1099" w:bottom="1440" w:gutter="0" w:footer="0" w:header="0"/>
        </w:sectPr>
      </w:pPr>
    </w:p>
    <w:bookmarkStart w:id="62" w:name="page63"/>
    <w:bookmarkEnd w:id="62"/>
    <w:p>
      <w:pPr>
        <w:spacing w:after="0" w:line="1" w:lineRule="exact"/>
        <w:rPr>
          <w:sz w:val="20"/>
          <w:szCs w:val="20"/>
          <w:color w:val="auto"/>
        </w:rPr>
      </w:pPr>
    </w:p>
    <w:tbl>
      <w:tblPr>
        <w:tblLayout w:type="fixed"/>
        <w:tblInd w:w="37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80" w:type="dxa"/>
            <w:vAlign w:val="bottom"/>
            <w:gridSpan w:val="6"/>
          </w:tcPr>
          <w:p>
            <w:pPr>
              <w:jc w:val="center"/>
              <w:ind w:right="2800"/>
              <w:spacing w:after="0"/>
              <w:rPr>
                <w:sz w:val="20"/>
                <w:szCs w:val="20"/>
                <w:color w:val="auto"/>
              </w:rPr>
            </w:pPr>
            <w:r>
              <w:rPr>
                <w:rFonts w:ascii="Arial" w:cs="Arial" w:eastAsia="Arial" w:hAnsi="Arial"/>
                <w:sz w:val="18"/>
                <w:szCs w:val="18"/>
                <w:b w:val="1"/>
                <w:bCs w:val="1"/>
                <w:color w:val="auto"/>
                <w:w w:val="90"/>
              </w:rPr>
              <w:t>Lawson Products, Inc.</w:t>
            </w: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80" w:type="dxa"/>
            <w:vAlign w:val="bottom"/>
            <w:gridSpan w:val="6"/>
          </w:tcPr>
          <w:p>
            <w:pPr>
              <w:jc w:val="center"/>
              <w:ind w:right="2820"/>
              <w:spacing w:after="0"/>
              <w:rPr>
                <w:sz w:val="20"/>
                <w:szCs w:val="20"/>
                <w:color w:val="auto"/>
              </w:rPr>
            </w:pPr>
            <w:r>
              <w:rPr>
                <w:rFonts w:ascii="Arial" w:cs="Arial" w:eastAsia="Arial" w:hAnsi="Arial"/>
                <w:sz w:val="18"/>
                <w:szCs w:val="18"/>
                <w:b w:val="1"/>
                <w:bCs w:val="1"/>
                <w:color w:val="auto"/>
                <w:w w:val="88"/>
              </w:rPr>
              <w:t>Notes to Consolidated Financial Statements</w:t>
            </w:r>
          </w:p>
        </w:tc>
      </w:tr>
      <w:tr>
        <w:trPr>
          <w:trHeight w:val="797"/>
        </w:trPr>
        <w:tc>
          <w:tcPr>
            <w:tcW w:w="540" w:type="dxa"/>
            <w:vAlign w:val="bottom"/>
            <w:tcBorders>
              <w:bottom w:val="single" w:sz="8" w:color="auto"/>
            </w:tcBorders>
            <w:gridSpan w:val="9"/>
          </w:tcPr>
          <w:p>
            <w:pPr>
              <w:jc w:val="center"/>
              <w:spacing w:after="0"/>
              <w:rPr>
                <w:rFonts w:ascii="Arial" w:cs="Arial" w:eastAsia="Arial" w:hAnsi="Arial"/>
                <w:sz w:val="18"/>
                <w:szCs w:val="18"/>
                <w:color w:val="auto"/>
                <w:w w:val="94"/>
              </w:rPr>
            </w:pPr>
            <w:hyperlink r:id="rId42">
              <w:r>
                <w:rPr>
                  <w:rFonts w:ascii="Arial" w:cs="Arial" w:eastAsia="Arial" w:hAnsi="Arial"/>
                  <w:sz w:val="18"/>
                  <w:szCs w:val="18"/>
                  <w:color w:val="auto"/>
                  <w:w w:val="94"/>
                </w:rPr>
                <w:t>10.</w:t>
              </w:r>
              <w:r>
                <w:rPr>
                  <w:rFonts w:ascii="Arial" w:cs="Arial" w:eastAsia="Arial" w:hAnsi="Arial"/>
                  <w:sz w:val="18"/>
                  <w:szCs w:val="18"/>
                  <w:u w:val="single" w:color="auto"/>
                  <w:color w:val="auto"/>
                  <w:w w:val="94"/>
                </w:rPr>
                <w:t>27</w:t>
              </w:r>
              <w:r>
                <w:rPr>
                  <w:rFonts w:ascii="Arial" w:cs="Arial" w:eastAsia="Arial" w:hAnsi="Arial"/>
                  <w:sz w:val="18"/>
                  <w:szCs w:val="18"/>
                  <w:color w:val="auto"/>
                  <w:w w:val="94"/>
                </w:rPr>
                <w:t xml:space="preserve"> *</w:t>
              </w:r>
            </w:hyperlink>
          </w:p>
        </w:tc>
        <w:tc>
          <w:tcPr>
            <w:tcW w:w="700" w:type="dxa"/>
            <w:vAlign w:val="bottom"/>
          </w:tcPr>
          <w:p>
            <w:pPr>
              <w:spacing w:after="0"/>
              <w:rPr>
                <w:sz w:val="24"/>
                <w:szCs w:val="24"/>
                <w:color w:val="auto"/>
              </w:rPr>
            </w:pPr>
          </w:p>
        </w:tc>
        <w:tc>
          <w:tcPr>
            <w:tcW w:w="8940" w:type="dxa"/>
            <w:vAlign w:val="bottom"/>
            <w:tcBorders>
              <w:bottom w:val="single" w:sz="8" w:color="auto"/>
            </w:tcBorders>
            <w:gridSpan w:val="9"/>
          </w:tcPr>
          <w:p>
            <w:pPr>
              <w:spacing w:after="0"/>
              <w:rPr>
                <w:rFonts w:ascii="Arial" w:cs="Arial" w:eastAsia="Arial" w:hAnsi="Arial"/>
                <w:sz w:val="18"/>
                <w:szCs w:val="18"/>
                <w:color w:val="auto"/>
                <w:w w:val="91"/>
              </w:rPr>
            </w:pPr>
            <w:hyperlink r:id="rId42">
              <w:r>
                <w:rPr>
                  <w:rFonts w:ascii="Arial" w:cs="Arial" w:eastAsia="Arial" w:hAnsi="Arial"/>
                  <w:sz w:val="18"/>
                  <w:szCs w:val="18"/>
                  <w:color w:val="auto"/>
                  <w:w w:val="91"/>
                </w:rPr>
                <w:t>Award Agreement dated as of August 14, 2017 by and between Lawson Products, Inc., an Illinois corporation, and Michael</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bottom w:val="single" w:sz="8" w:color="auto"/>
            </w:tcBorders>
            <w:gridSpan w:val="9"/>
          </w:tcPr>
          <w:p>
            <w:pPr>
              <w:spacing w:after="0" w:line="196" w:lineRule="exact"/>
              <w:rPr>
                <w:rFonts w:ascii="Arial" w:cs="Arial" w:eastAsia="Arial" w:hAnsi="Arial"/>
                <w:sz w:val="18"/>
                <w:szCs w:val="18"/>
                <w:color w:val="auto"/>
                <w:w w:val="93"/>
              </w:rPr>
            </w:pPr>
            <w:hyperlink r:id="rId42">
              <w:r>
                <w:rPr>
                  <w:rFonts w:ascii="Arial" w:cs="Arial" w:eastAsia="Arial" w:hAnsi="Arial"/>
                  <w:sz w:val="18"/>
                  <w:szCs w:val="18"/>
                  <w:color w:val="auto"/>
                  <w:w w:val="93"/>
                </w:rPr>
                <w:t>G. DeCata, incorporated herein by reference to Exhibit 10.2 to the Company's Current Report on Form 8-K dated August</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Borders>
              <w:bottom w:val="single" w:sz="8" w:color="auto"/>
            </w:tcBorders>
            <w:gridSpan w:val="2"/>
          </w:tcPr>
          <w:p>
            <w:pPr>
              <w:spacing w:after="0" w:line="196" w:lineRule="exact"/>
              <w:rPr>
                <w:rFonts w:ascii="Arial" w:cs="Arial" w:eastAsia="Arial" w:hAnsi="Arial"/>
                <w:sz w:val="18"/>
                <w:szCs w:val="18"/>
                <w:color w:val="auto"/>
                <w:w w:val="87"/>
              </w:rPr>
            </w:pPr>
            <w:hyperlink r:id="rId42">
              <w:r>
                <w:rPr>
                  <w:rFonts w:ascii="Arial" w:cs="Arial" w:eastAsia="Arial" w:hAnsi="Arial"/>
                  <w:sz w:val="18"/>
                  <w:szCs w:val="18"/>
                  <w:color w:val="auto"/>
                  <w:w w:val="87"/>
                </w:rPr>
                <w:t>14, 2017.</w:t>
              </w:r>
            </w:hyperlink>
          </w:p>
        </w:tc>
        <w:tc>
          <w:tcPr>
            <w:tcW w:w="13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66"/>
        </w:trPr>
        <w:tc>
          <w:tcPr>
            <w:tcW w:w="520" w:type="dxa"/>
            <w:vAlign w:val="bottom"/>
            <w:gridSpan w:val="8"/>
          </w:tcPr>
          <w:p>
            <w:pPr>
              <w:jc w:val="center"/>
              <w:spacing w:after="0"/>
              <w:rPr>
                <w:rFonts w:ascii="Arial" w:cs="Arial" w:eastAsia="Arial" w:hAnsi="Arial"/>
                <w:sz w:val="18"/>
                <w:szCs w:val="18"/>
                <w:color w:val="auto"/>
                <w:w w:val="93"/>
              </w:rPr>
            </w:pPr>
            <w:hyperlink r:id="rId43">
              <w:r>
                <w:rPr>
                  <w:rFonts w:ascii="Arial" w:cs="Arial" w:eastAsia="Arial" w:hAnsi="Arial"/>
                  <w:sz w:val="18"/>
                  <w:szCs w:val="18"/>
                  <w:color w:val="auto"/>
                  <w:w w:val="93"/>
                </w:rPr>
                <w:t>10.</w:t>
              </w:r>
              <w:r>
                <w:rPr>
                  <w:rFonts w:ascii="Arial" w:cs="Arial" w:eastAsia="Arial" w:hAnsi="Arial"/>
                  <w:sz w:val="18"/>
                  <w:szCs w:val="18"/>
                  <w:u w:val="single" w:color="auto"/>
                  <w:color w:val="auto"/>
                  <w:w w:val="93"/>
                </w:rPr>
                <w:t>28</w:t>
              </w:r>
            </w:hyperlink>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940" w:type="dxa"/>
            <w:vAlign w:val="bottom"/>
            <w:gridSpan w:val="9"/>
          </w:tcPr>
          <w:p>
            <w:pPr>
              <w:spacing w:after="0"/>
              <w:rPr>
                <w:rFonts w:ascii="Arial" w:cs="Arial" w:eastAsia="Arial" w:hAnsi="Arial"/>
                <w:sz w:val="18"/>
                <w:szCs w:val="18"/>
                <w:color w:val="auto"/>
                <w:w w:val="92"/>
              </w:rPr>
            </w:pPr>
            <w:hyperlink r:id="rId43">
              <w:r>
                <w:rPr>
                  <w:rFonts w:ascii="Arial" w:cs="Arial" w:eastAsia="Arial" w:hAnsi="Arial"/>
                  <w:sz w:val="18"/>
                  <w:szCs w:val="18"/>
                  <w:color w:val="auto"/>
                  <w:w w:val="92"/>
                </w:rPr>
                <w:t>Consent and Ninth Amendment to Loan and Security Agreement dated October 2, 2017 between the Company and CIBC</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auto"/>
              <w:bottom w:val="single" w:sz="8" w:color="auto"/>
            </w:tcBorders>
            <w:gridSpan w:val="9"/>
          </w:tcPr>
          <w:p>
            <w:pPr>
              <w:spacing w:after="0" w:line="196" w:lineRule="exact"/>
              <w:rPr>
                <w:rFonts w:ascii="Arial" w:cs="Arial" w:eastAsia="Arial" w:hAnsi="Arial"/>
                <w:sz w:val="18"/>
                <w:szCs w:val="18"/>
                <w:color w:val="auto"/>
                <w:w w:val="92"/>
              </w:rPr>
            </w:pPr>
            <w:hyperlink r:id="rId43">
              <w:r>
                <w:rPr>
                  <w:rFonts w:ascii="Arial" w:cs="Arial" w:eastAsia="Arial" w:hAnsi="Arial"/>
                  <w:sz w:val="18"/>
                  <w:szCs w:val="18"/>
                  <w:color w:val="auto"/>
                  <w:w w:val="92"/>
                </w:rPr>
                <w:t>Bank USA formerly known as The PrivateBank and Trust Company incorporated herein by reference to Exhibit 10.1 to the</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20" w:type="dxa"/>
            <w:vAlign w:val="bottom"/>
            <w:tcBorders>
              <w:bottom w:val="single" w:sz="8" w:color="auto"/>
            </w:tcBorders>
            <w:gridSpan w:val="4"/>
          </w:tcPr>
          <w:p>
            <w:pPr>
              <w:spacing w:after="0" w:line="196" w:lineRule="exact"/>
              <w:rPr>
                <w:rFonts w:ascii="Arial" w:cs="Arial" w:eastAsia="Arial" w:hAnsi="Arial"/>
                <w:sz w:val="18"/>
                <w:szCs w:val="18"/>
                <w:color w:val="auto"/>
                <w:w w:val="90"/>
              </w:rPr>
            </w:pPr>
            <w:hyperlink r:id="rId43">
              <w:r>
                <w:rPr>
                  <w:rFonts w:ascii="Arial" w:cs="Arial" w:eastAsia="Arial" w:hAnsi="Arial"/>
                  <w:sz w:val="18"/>
                  <w:szCs w:val="18"/>
                  <w:color w:val="auto"/>
                  <w:w w:val="90"/>
                </w:rPr>
                <w:t>Company's Current Report on Form 8-K dated October 3, 2017.</w:t>
              </w:r>
            </w:hyperlink>
          </w:p>
        </w:tc>
        <w:tc>
          <w:tcPr>
            <w:tcW w:w="4320" w:type="dxa"/>
            <w:vAlign w:val="bottom"/>
            <w:gridSpan w:val="5"/>
          </w:tcPr>
          <w:p>
            <w:pPr>
              <w:spacing w:after="0"/>
              <w:rPr>
                <w:sz w:val="17"/>
                <w:szCs w:val="17"/>
                <w:color w:val="auto"/>
              </w:rPr>
            </w:pPr>
          </w:p>
        </w:tc>
      </w:tr>
      <w:tr>
        <w:trPr>
          <w:trHeight w:val="466"/>
        </w:trPr>
        <w:tc>
          <w:tcPr>
            <w:tcW w:w="540" w:type="dxa"/>
            <w:vAlign w:val="bottom"/>
            <w:gridSpan w:val="9"/>
          </w:tcPr>
          <w:p>
            <w:pPr>
              <w:jc w:val="center"/>
              <w:spacing w:after="0"/>
              <w:rPr>
                <w:rFonts w:ascii="Arial" w:cs="Arial" w:eastAsia="Arial" w:hAnsi="Arial"/>
                <w:sz w:val="18"/>
                <w:szCs w:val="18"/>
                <w:color w:val="auto"/>
                <w:w w:val="95"/>
              </w:rPr>
            </w:pPr>
            <w:hyperlink r:id="rId44">
              <w:r>
                <w:rPr>
                  <w:rFonts w:ascii="Arial" w:cs="Arial" w:eastAsia="Arial" w:hAnsi="Arial"/>
                  <w:sz w:val="18"/>
                  <w:szCs w:val="18"/>
                  <w:color w:val="auto"/>
                  <w:w w:val="95"/>
                </w:rPr>
                <w:t>10.</w:t>
              </w:r>
              <w:r>
                <w:rPr>
                  <w:rFonts w:ascii="Arial" w:cs="Arial" w:eastAsia="Arial" w:hAnsi="Arial"/>
                  <w:sz w:val="18"/>
                  <w:szCs w:val="18"/>
                  <w:u w:val="single" w:color="auto"/>
                  <w:color w:val="auto"/>
                  <w:w w:val="95"/>
                </w:rPr>
                <w:t>29*</w:t>
              </w:r>
            </w:hyperlink>
          </w:p>
        </w:tc>
        <w:tc>
          <w:tcPr>
            <w:tcW w:w="700" w:type="dxa"/>
            <w:vAlign w:val="bottom"/>
          </w:tcPr>
          <w:p>
            <w:pPr>
              <w:spacing w:after="0"/>
              <w:rPr>
                <w:sz w:val="24"/>
                <w:szCs w:val="24"/>
                <w:color w:val="auto"/>
              </w:rPr>
            </w:pPr>
          </w:p>
        </w:tc>
        <w:tc>
          <w:tcPr>
            <w:tcW w:w="8940" w:type="dxa"/>
            <w:vAlign w:val="bottom"/>
            <w:gridSpan w:val="9"/>
          </w:tcPr>
          <w:p>
            <w:pPr>
              <w:spacing w:after="0"/>
              <w:rPr>
                <w:rFonts w:ascii="Arial" w:cs="Arial" w:eastAsia="Arial" w:hAnsi="Arial"/>
                <w:sz w:val="18"/>
                <w:szCs w:val="18"/>
                <w:color w:val="auto"/>
                <w:w w:val="95"/>
              </w:rPr>
            </w:pPr>
            <w:hyperlink r:id="rId44">
              <w:r>
                <w:rPr>
                  <w:rFonts w:ascii="Arial" w:cs="Arial" w:eastAsia="Arial" w:hAnsi="Arial"/>
                  <w:sz w:val="18"/>
                  <w:szCs w:val="18"/>
                  <w:color w:val="auto"/>
                  <w:w w:val="95"/>
                </w:rPr>
                <w:t>Amendment No. 1 to the Amended and Restated Lawson Products, Inc. 2009 Equity Compensation Plan incorporated</w:t>
              </w:r>
            </w:hyperlink>
          </w:p>
        </w:tc>
      </w:tr>
      <w:tr>
        <w:trPr>
          <w:trHeight w:val="196"/>
        </w:trPr>
        <w:tc>
          <w:tcPr>
            <w:tcW w:w="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auto"/>
            </w:tcBorders>
            <w:gridSpan w:val="9"/>
          </w:tcPr>
          <w:p>
            <w:pPr>
              <w:spacing w:after="0" w:line="196" w:lineRule="exact"/>
              <w:rPr>
                <w:rFonts w:ascii="Arial" w:cs="Arial" w:eastAsia="Arial" w:hAnsi="Arial"/>
                <w:sz w:val="18"/>
                <w:szCs w:val="18"/>
                <w:color w:val="auto"/>
              </w:rPr>
            </w:pPr>
            <w:hyperlink r:id="rId44">
              <w:r>
                <w:rPr>
                  <w:rFonts w:ascii="Arial" w:cs="Arial" w:eastAsia="Arial" w:hAnsi="Arial"/>
                  <w:sz w:val="18"/>
                  <w:szCs w:val="18"/>
                  <w:color w:val="auto"/>
                </w:rPr>
                <w:t>herein by reference to Exhibit 10.1 to the Company's Current Report on Form 8-K dated April 11, 2018.</w:t>
              </w:r>
            </w:hyperlink>
          </w:p>
        </w:tc>
      </w:tr>
      <w:tr>
        <w:trPr>
          <w:trHeight w:val="20"/>
        </w:trPr>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3360" w:type="dxa"/>
            <w:vAlign w:val="bottom"/>
            <w:tcBorders>
              <w:left w:val="single" w:sz="8" w:color="auto"/>
            </w:tcBorders>
            <w:gridSpan w:val="2"/>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66"/>
        </w:trPr>
        <w:tc>
          <w:tcPr>
            <w:tcW w:w="540" w:type="dxa"/>
            <w:vAlign w:val="bottom"/>
            <w:gridSpan w:val="9"/>
          </w:tcPr>
          <w:p>
            <w:pPr>
              <w:jc w:val="center"/>
              <w:spacing w:after="0"/>
              <w:rPr>
                <w:rFonts w:ascii="Arial" w:cs="Arial" w:eastAsia="Arial" w:hAnsi="Arial"/>
                <w:sz w:val="18"/>
                <w:szCs w:val="18"/>
                <w:color w:val="auto"/>
                <w:w w:val="95"/>
              </w:rPr>
            </w:pPr>
            <w:hyperlink r:id="rId45">
              <w:r>
                <w:rPr>
                  <w:rFonts w:ascii="Arial" w:cs="Arial" w:eastAsia="Arial" w:hAnsi="Arial"/>
                  <w:sz w:val="18"/>
                  <w:szCs w:val="18"/>
                  <w:color w:val="auto"/>
                  <w:w w:val="95"/>
                </w:rPr>
                <w:t>10.</w:t>
              </w:r>
              <w:r>
                <w:rPr>
                  <w:rFonts w:ascii="Arial" w:cs="Arial" w:eastAsia="Arial" w:hAnsi="Arial"/>
                  <w:sz w:val="18"/>
                  <w:szCs w:val="18"/>
                  <w:u w:val="single" w:color="auto"/>
                  <w:color w:val="auto"/>
                  <w:w w:val="95"/>
                </w:rPr>
                <w:t>30*</w:t>
              </w:r>
            </w:hyperlink>
          </w:p>
        </w:tc>
        <w:tc>
          <w:tcPr>
            <w:tcW w:w="700" w:type="dxa"/>
            <w:vAlign w:val="bottom"/>
          </w:tcPr>
          <w:p>
            <w:pPr>
              <w:spacing w:after="0"/>
              <w:rPr>
                <w:sz w:val="24"/>
                <w:szCs w:val="24"/>
                <w:color w:val="auto"/>
              </w:rPr>
            </w:pPr>
          </w:p>
        </w:tc>
        <w:tc>
          <w:tcPr>
            <w:tcW w:w="8940" w:type="dxa"/>
            <w:vAlign w:val="bottom"/>
            <w:gridSpan w:val="9"/>
          </w:tcPr>
          <w:p>
            <w:pPr>
              <w:spacing w:after="0"/>
              <w:rPr>
                <w:rFonts w:ascii="Arial" w:cs="Arial" w:eastAsia="Arial" w:hAnsi="Arial"/>
                <w:sz w:val="18"/>
                <w:szCs w:val="18"/>
                <w:color w:val="auto"/>
                <w:w w:val="92"/>
              </w:rPr>
            </w:pPr>
            <w:hyperlink r:id="rId45">
              <w:r>
                <w:rPr>
                  <w:rFonts w:ascii="Arial" w:cs="Arial" w:eastAsia="Arial" w:hAnsi="Arial"/>
                  <w:sz w:val="18"/>
                  <w:szCs w:val="18"/>
                  <w:color w:val="auto"/>
                  <w:w w:val="92"/>
                </w:rPr>
                <w:t>Amendment No.1 to the Award Agreement entered into on April 11, 2018 between the Company and Michael G. DeCata,</w:t>
              </w:r>
            </w:hyperlink>
          </w:p>
        </w:tc>
      </w:tr>
      <w:tr>
        <w:trPr>
          <w:trHeight w:val="196"/>
        </w:trPr>
        <w:tc>
          <w:tcPr>
            <w:tcW w:w="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60" w:type="dxa"/>
            <w:vAlign w:val="bottom"/>
            <w:tcBorders>
              <w:top w:val="single" w:sz="8" w:color="auto"/>
              <w:bottom w:val="single" w:sz="8" w:color="auto"/>
            </w:tcBorders>
            <w:gridSpan w:val="8"/>
          </w:tcPr>
          <w:p>
            <w:pPr>
              <w:spacing w:after="0" w:line="196" w:lineRule="exact"/>
              <w:rPr>
                <w:rFonts w:ascii="Arial" w:cs="Arial" w:eastAsia="Arial" w:hAnsi="Arial"/>
                <w:sz w:val="18"/>
                <w:szCs w:val="18"/>
                <w:color w:val="auto"/>
                <w:w w:val="91"/>
              </w:rPr>
            </w:pPr>
            <w:hyperlink r:id="rId45">
              <w:r>
                <w:rPr>
                  <w:rFonts w:ascii="Arial" w:cs="Arial" w:eastAsia="Arial" w:hAnsi="Arial"/>
                  <w:sz w:val="18"/>
                  <w:szCs w:val="18"/>
                  <w:color w:val="auto"/>
                  <w:w w:val="91"/>
                </w:rPr>
                <w:t>incorporated herein by reference to Exhibit 10.2 to the Company's Current Report on Form 8-K dated April 11, 2018.</w:t>
              </w:r>
            </w:hyperlink>
          </w:p>
        </w:tc>
        <w:tc>
          <w:tcPr>
            <w:tcW w:w="480" w:type="dxa"/>
            <w:vAlign w:val="bottom"/>
            <w:tcBorders>
              <w:top w:val="single" w:sz="8" w:color="auto"/>
            </w:tcBorders>
          </w:tcPr>
          <w:p>
            <w:pPr>
              <w:spacing w:after="0"/>
              <w:rPr>
                <w:sz w:val="17"/>
                <w:szCs w:val="17"/>
                <w:color w:val="auto"/>
              </w:rPr>
            </w:pPr>
          </w:p>
        </w:tc>
      </w:tr>
      <w:tr>
        <w:trPr>
          <w:trHeight w:val="466"/>
        </w:trPr>
        <w:tc>
          <w:tcPr>
            <w:tcW w:w="540" w:type="dxa"/>
            <w:vAlign w:val="bottom"/>
            <w:gridSpan w:val="9"/>
          </w:tcPr>
          <w:p>
            <w:pPr>
              <w:jc w:val="center"/>
              <w:spacing w:after="0"/>
              <w:rPr>
                <w:rFonts w:ascii="Arial" w:cs="Arial" w:eastAsia="Arial" w:hAnsi="Arial"/>
                <w:sz w:val="18"/>
                <w:szCs w:val="18"/>
                <w:color w:val="auto"/>
                <w:w w:val="95"/>
              </w:rPr>
            </w:pPr>
            <w:hyperlink r:id="rId46">
              <w:r>
                <w:rPr>
                  <w:rFonts w:ascii="Arial" w:cs="Arial" w:eastAsia="Arial" w:hAnsi="Arial"/>
                  <w:sz w:val="18"/>
                  <w:szCs w:val="18"/>
                  <w:color w:val="auto"/>
                  <w:w w:val="95"/>
                </w:rPr>
                <w:t>10.</w:t>
              </w:r>
              <w:r>
                <w:rPr>
                  <w:rFonts w:ascii="Arial" w:cs="Arial" w:eastAsia="Arial" w:hAnsi="Arial"/>
                  <w:sz w:val="18"/>
                  <w:szCs w:val="18"/>
                  <w:u w:val="single" w:color="auto"/>
                  <w:color w:val="auto"/>
                  <w:w w:val="95"/>
                </w:rPr>
                <w:t>31*</w:t>
              </w:r>
            </w:hyperlink>
          </w:p>
        </w:tc>
        <w:tc>
          <w:tcPr>
            <w:tcW w:w="700" w:type="dxa"/>
            <w:vAlign w:val="bottom"/>
          </w:tcPr>
          <w:p>
            <w:pPr>
              <w:spacing w:after="0"/>
              <w:rPr>
                <w:sz w:val="24"/>
                <w:szCs w:val="24"/>
                <w:color w:val="auto"/>
              </w:rPr>
            </w:pPr>
          </w:p>
        </w:tc>
        <w:tc>
          <w:tcPr>
            <w:tcW w:w="8940" w:type="dxa"/>
            <w:vAlign w:val="bottom"/>
            <w:gridSpan w:val="9"/>
          </w:tcPr>
          <w:p>
            <w:pPr>
              <w:spacing w:after="0"/>
              <w:rPr>
                <w:rFonts w:ascii="Arial" w:cs="Arial" w:eastAsia="Arial" w:hAnsi="Arial"/>
                <w:sz w:val="18"/>
                <w:szCs w:val="18"/>
                <w:color w:val="auto"/>
                <w:w w:val="94"/>
              </w:rPr>
            </w:pPr>
            <w:hyperlink r:id="rId46">
              <w:r>
                <w:rPr>
                  <w:rFonts w:ascii="Arial" w:cs="Arial" w:eastAsia="Arial" w:hAnsi="Arial"/>
                  <w:sz w:val="18"/>
                  <w:szCs w:val="18"/>
                  <w:color w:val="auto"/>
                  <w:w w:val="94"/>
                </w:rPr>
                <w:t>Amended and Restated Stock Award Agreement entered into on April 11, 2018 between the Company and Michael G.</w:t>
              </w:r>
            </w:hyperlink>
          </w:p>
        </w:tc>
      </w:tr>
      <w:tr>
        <w:trPr>
          <w:trHeight w:val="196"/>
        </w:trPr>
        <w:tc>
          <w:tcPr>
            <w:tcW w:w="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auto"/>
              <w:bottom w:val="single" w:sz="8" w:color="auto"/>
            </w:tcBorders>
            <w:gridSpan w:val="9"/>
          </w:tcPr>
          <w:p>
            <w:pPr>
              <w:spacing w:after="0" w:line="196" w:lineRule="exact"/>
              <w:rPr>
                <w:rFonts w:ascii="Arial" w:cs="Arial" w:eastAsia="Arial" w:hAnsi="Arial"/>
                <w:sz w:val="18"/>
                <w:szCs w:val="18"/>
                <w:color w:val="auto"/>
                <w:w w:val="94"/>
              </w:rPr>
            </w:pPr>
            <w:hyperlink r:id="rId46">
              <w:r>
                <w:rPr>
                  <w:rFonts w:ascii="Arial" w:cs="Arial" w:eastAsia="Arial" w:hAnsi="Arial"/>
                  <w:sz w:val="18"/>
                  <w:szCs w:val="18"/>
                  <w:color w:val="auto"/>
                  <w:w w:val="94"/>
                </w:rPr>
                <w:t>DeCata, incorporated herein by reference to Exhibit 10.3 to the Company's Current Report on Form 8-K dated April 11,</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Borders>
              <w:bottom w:val="single" w:sz="8" w:color="auto"/>
            </w:tcBorders>
          </w:tcPr>
          <w:p>
            <w:pPr>
              <w:spacing w:after="0" w:line="196" w:lineRule="exact"/>
              <w:rPr>
                <w:rFonts w:ascii="Arial" w:cs="Arial" w:eastAsia="Arial" w:hAnsi="Arial"/>
                <w:sz w:val="18"/>
                <w:szCs w:val="18"/>
                <w:color w:val="auto"/>
                <w:w w:val="88"/>
              </w:rPr>
            </w:pPr>
            <w:hyperlink r:id="rId46">
              <w:r>
                <w:rPr>
                  <w:rFonts w:ascii="Arial" w:cs="Arial" w:eastAsia="Arial" w:hAnsi="Arial"/>
                  <w:sz w:val="18"/>
                  <w:szCs w:val="18"/>
                  <w:color w:val="auto"/>
                  <w:w w:val="88"/>
                </w:rPr>
                <w:t>2018.</w:t>
              </w:r>
            </w:hyperlink>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50"/>
        </w:trPr>
        <w:tc>
          <w:tcPr>
            <w:tcW w:w="540" w:type="dxa"/>
            <w:vAlign w:val="bottom"/>
            <w:gridSpan w:val="9"/>
          </w:tcPr>
          <w:p>
            <w:pPr>
              <w:jc w:val="center"/>
              <w:spacing w:after="0"/>
              <w:rPr>
                <w:rFonts w:ascii="Arial" w:cs="Arial" w:eastAsia="Arial" w:hAnsi="Arial"/>
                <w:sz w:val="18"/>
                <w:szCs w:val="18"/>
                <w:color w:val="auto"/>
                <w:w w:val="95"/>
              </w:rPr>
            </w:pPr>
            <w:hyperlink r:id="rId47">
              <w:r>
                <w:rPr>
                  <w:rFonts w:ascii="Arial" w:cs="Arial" w:eastAsia="Arial" w:hAnsi="Arial"/>
                  <w:sz w:val="18"/>
                  <w:szCs w:val="18"/>
                  <w:color w:val="auto"/>
                  <w:w w:val="95"/>
                </w:rPr>
                <w:t>10.</w:t>
              </w:r>
              <w:r>
                <w:rPr>
                  <w:rFonts w:ascii="Arial" w:cs="Arial" w:eastAsia="Arial" w:hAnsi="Arial"/>
                  <w:sz w:val="18"/>
                  <w:szCs w:val="18"/>
                  <w:u w:val="single" w:color="auto"/>
                  <w:color w:val="auto"/>
                  <w:w w:val="95"/>
                </w:rPr>
                <w:t>32*</w:t>
              </w:r>
            </w:hyperlink>
          </w:p>
        </w:tc>
        <w:tc>
          <w:tcPr>
            <w:tcW w:w="700" w:type="dxa"/>
            <w:vAlign w:val="bottom"/>
          </w:tcPr>
          <w:p>
            <w:pPr>
              <w:spacing w:after="0"/>
              <w:rPr>
                <w:sz w:val="21"/>
                <w:szCs w:val="21"/>
                <w:color w:val="auto"/>
              </w:rPr>
            </w:pPr>
          </w:p>
        </w:tc>
        <w:tc>
          <w:tcPr>
            <w:tcW w:w="8940" w:type="dxa"/>
            <w:vAlign w:val="bottom"/>
            <w:gridSpan w:val="9"/>
          </w:tcPr>
          <w:p>
            <w:pPr>
              <w:spacing w:after="0"/>
              <w:rPr>
                <w:rFonts w:ascii="Arial" w:cs="Arial" w:eastAsia="Arial" w:hAnsi="Arial"/>
                <w:sz w:val="18"/>
                <w:szCs w:val="18"/>
                <w:color w:val="auto"/>
                <w:w w:val="93"/>
              </w:rPr>
            </w:pPr>
            <w:hyperlink r:id="rId47">
              <w:r>
                <w:rPr>
                  <w:rFonts w:ascii="Arial" w:cs="Arial" w:eastAsia="Arial" w:hAnsi="Arial"/>
                  <w:sz w:val="18"/>
                  <w:szCs w:val="18"/>
                  <w:color w:val="auto"/>
                  <w:w w:val="93"/>
                </w:rPr>
                <w:t>Award Agreement entered into on April 11, 2018 between the Company and Michael G. DeCata, incorporated herein by</w:t>
              </w:r>
            </w:hyperlink>
          </w:p>
        </w:tc>
      </w:tr>
      <w:tr>
        <w:trPr>
          <w:trHeight w:val="196"/>
        </w:trPr>
        <w:tc>
          <w:tcPr>
            <w:tcW w:w="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auto"/>
            </w:tcBorders>
            <w:gridSpan w:val="9"/>
          </w:tcPr>
          <w:p>
            <w:pPr>
              <w:spacing w:after="0" w:line="196" w:lineRule="exact"/>
              <w:rPr>
                <w:rFonts w:ascii="Arial" w:cs="Arial" w:eastAsia="Arial" w:hAnsi="Arial"/>
                <w:sz w:val="18"/>
                <w:szCs w:val="18"/>
                <w:color w:val="auto"/>
              </w:rPr>
            </w:pPr>
            <w:hyperlink r:id="rId47">
              <w:r>
                <w:rPr>
                  <w:rFonts w:ascii="Arial" w:cs="Arial" w:eastAsia="Arial" w:hAnsi="Arial"/>
                  <w:sz w:val="18"/>
                  <w:szCs w:val="18"/>
                  <w:color w:val="auto"/>
                </w:rPr>
                <w:t>reference to Exhibit 10.4 to the Company's Current Report on Form 8-K dated April 11, 2018.</w:t>
              </w:r>
            </w:hyperlink>
          </w:p>
        </w:tc>
      </w:tr>
      <w:tr>
        <w:trPr>
          <w:trHeight w:val="20"/>
        </w:trPr>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gridSpan w:val="3"/>
            <w:shd w:val="clear" w:color="auto" w:fill="000000"/>
          </w:tcPr>
          <w:p>
            <w:pPr>
              <w:spacing w:after="0" w:line="20" w:lineRule="exact"/>
              <w:rPr>
                <w:sz w:val="1"/>
                <w:szCs w:val="1"/>
                <w:color w:val="auto"/>
              </w:rPr>
            </w:pPr>
          </w:p>
        </w:tc>
        <w:tc>
          <w:tcPr>
            <w:tcW w:w="3360" w:type="dxa"/>
            <w:vAlign w:val="bottom"/>
            <w:tcBorders>
              <w:left w:val="single" w:sz="8" w:color="auto"/>
            </w:tcBorders>
            <w:gridSpan w:val="2"/>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50"/>
        </w:trPr>
        <w:tc>
          <w:tcPr>
            <w:tcW w:w="540" w:type="dxa"/>
            <w:vAlign w:val="bottom"/>
            <w:gridSpan w:val="9"/>
          </w:tcPr>
          <w:p>
            <w:pPr>
              <w:jc w:val="center"/>
              <w:spacing w:after="0"/>
              <w:rPr>
                <w:rFonts w:ascii="Arial" w:cs="Arial" w:eastAsia="Arial" w:hAnsi="Arial"/>
                <w:sz w:val="18"/>
                <w:szCs w:val="18"/>
                <w:color w:val="auto"/>
                <w:w w:val="95"/>
              </w:rPr>
            </w:pPr>
            <w:hyperlink r:id="rId48">
              <w:r>
                <w:rPr>
                  <w:rFonts w:ascii="Arial" w:cs="Arial" w:eastAsia="Arial" w:hAnsi="Arial"/>
                  <w:sz w:val="18"/>
                  <w:szCs w:val="18"/>
                  <w:color w:val="auto"/>
                  <w:w w:val="95"/>
                </w:rPr>
                <w:t>10.</w:t>
              </w:r>
              <w:r>
                <w:rPr>
                  <w:rFonts w:ascii="Arial" w:cs="Arial" w:eastAsia="Arial" w:hAnsi="Arial"/>
                  <w:sz w:val="18"/>
                  <w:szCs w:val="18"/>
                  <w:u w:val="single" w:color="auto"/>
                  <w:color w:val="auto"/>
                  <w:w w:val="95"/>
                </w:rPr>
                <w:t>33*</w:t>
              </w:r>
            </w:hyperlink>
          </w:p>
        </w:tc>
        <w:tc>
          <w:tcPr>
            <w:tcW w:w="700" w:type="dxa"/>
            <w:vAlign w:val="bottom"/>
          </w:tcPr>
          <w:p>
            <w:pPr>
              <w:spacing w:after="0"/>
              <w:rPr>
                <w:sz w:val="21"/>
                <w:szCs w:val="21"/>
                <w:color w:val="auto"/>
              </w:rPr>
            </w:pPr>
          </w:p>
        </w:tc>
        <w:tc>
          <w:tcPr>
            <w:tcW w:w="8940" w:type="dxa"/>
            <w:vAlign w:val="bottom"/>
            <w:gridSpan w:val="9"/>
          </w:tcPr>
          <w:p>
            <w:pPr>
              <w:spacing w:after="0"/>
              <w:rPr>
                <w:rFonts w:ascii="Arial" w:cs="Arial" w:eastAsia="Arial" w:hAnsi="Arial"/>
                <w:sz w:val="18"/>
                <w:szCs w:val="18"/>
                <w:color w:val="auto"/>
                <w:w w:val="94"/>
              </w:rPr>
            </w:pPr>
            <w:hyperlink r:id="rId48">
              <w:r>
                <w:rPr>
                  <w:rFonts w:ascii="Arial" w:cs="Arial" w:eastAsia="Arial" w:hAnsi="Arial"/>
                  <w:sz w:val="18"/>
                  <w:szCs w:val="18"/>
                  <w:color w:val="auto"/>
                  <w:w w:val="94"/>
                </w:rPr>
                <w:t>Amendment No.1 to the Employment Agreement entered into on April 11, 2018 between the Company and Michael G.</w:t>
              </w:r>
            </w:hyperlink>
          </w:p>
        </w:tc>
      </w:tr>
      <w:tr>
        <w:trPr>
          <w:trHeight w:val="196"/>
        </w:trPr>
        <w:tc>
          <w:tcPr>
            <w:tcW w:w="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auto"/>
              <w:bottom w:val="single" w:sz="8" w:color="auto"/>
            </w:tcBorders>
            <w:gridSpan w:val="9"/>
          </w:tcPr>
          <w:p>
            <w:pPr>
              <w:spacing w:after="0" w:line="196" w:lineRule="exact"/>
              <w:rPr>
                <w:rFonts w:ascii="Arial" w:cs="Arial" w:eastAsia="Arial" w:hAnsi="Arial"/>
                <w:sz w:val="18"/>
                <w:szCs w:val="18"/>
                <w:color w:val="auto"/>
                <w:w w:val="94"/>
              </w:rPr>
            </w:pPr>
            <w:hyperlink r:id="rId48">
              <w:r>
                <w:rPr>
                  <w:rFonts w:ascii="Arial" w:cs="Arial" w:eastAsia="Arial" w:hAnsi="Arial"/>
                  <w:sz w:val="18"/>
                  <w:szCs w:val="18"/>
                  <w:color w:val="auto"/>
                  <w:w w:val="94"/>
                </w:rPr>
                <w:t>DeCata, incorporated herein by reference to Exhibit 10.5 to the Company's Current Report on Form 8-K dated April 11,</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Borders>
              <w:bottom w:val="single" w:sz="8" w:color="auto"/>
            </w:tcBorders>
          </w:tcPr>
          <w:p>
            <w:pPr>
              <w:spacing w:after="0" w:line="196" w:lineRule="exact"/>
              <w:rPr>
                <w:rFonts w:ascii="Arial" w:cs="Arial" w:eastAsia="Arial" w:hAnsi="Arial"/>
                <w:sz w:val="18"/>
                <w:szCs w:val="18"/>
                <w:color w:val="auto"/>
                <w:w w:val="88"/>
              </w:rPr>
            </w:pPr>
            <w:hyperlink r:id="rId48">
              <w:r>
                <w:rPr>
                  <w:rFonts w:ascii="Arial" w:cs="Arial" w:eastAsia="Arial" w:hAnsi="Arial"/>
                  <w:sz w:val="18"/>
                  <w:szCs w:val="18"/>
                  <w:color w:val="auto"/>
                  <w:w w:val="88"/>
                </w:rPr>
                <w:t>2018.</w:t>
              </w:r>
            </w:hyperlink>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50"/>
        </w:trPr>
        <w:tc>
          <w:tcPr>
            <w:tcW w:w="520" w:type="dxa"/>
            <w:vAlign w:val="bottom"/>
            <w:gridSpan w:val="8"/>
          </w:tcPr>
          <w:p>
            <w:pPr>
              <w:jc w:val="center"/>
              <w:spacing w:after="0"/>
              <w:rPr>
                <w:rFonts w:ascii="Arial" w:cs="Arial" w:eastAsia="Arial" w:hAnsi="Arial"/>
                <w:sz w:val="18"/>
                <w:szCs w:val="18"/>
                <w:color w:val="auto"/>
                <w:w w:val="93"/>
              </w:rPr>
            </w:pPr>
            <w:hyperlink w:anchor="page65">
              <w:r>
                <w:rPr>
                  <w:rFonts w:ascii="Arial" w:cs="Arial" w:eastAsia="Arial" w:hAnsi="Arial"/>
                  <w:sz w:val="18"/>
                  <w:szCs w:val="18"/>
                  <w:color w:val="auto"/>
                  <w:w w:val="93"/>
                </w:rPr>
                <w:t>10.</w:t>
              </w:r>
              <w:r>
                <w:rPr>
                  <w:rFonts w:ascii="Arial" w:cs="Arial" w:eastAsia="Arial" w:hAnsi="Arial"/>
                  <w:sz w:val="18"/>
                  <w:szCs w:val="18"/>
                  <w:u w:val="single" w:color="auto"/>
                  <w:color w:val="auto"/>
                  <w:w w:val="93"/>
                </w:rPr>
                <w:t>34</w:t>
              </w:r>
            </w:hyperlink>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9"/>
          </w:tcPr>
          <w:p>
            <w:pPr>
              <w:spacing w:after="0"/>
              <w:rPr>
                <w:rFonts w:ascii="Arial" w:cs="Arial" w:eastAsia="Arial" w:hAnsi="Arial"/>
                <w:sz w:val="18"/>
                <w:szCs w:val="18"/>
                <w:color w:val="auto"/>
                <w:w w:val="93"/>
              </w:rPr>
            </w:pPr>
            <w:hyperlink w:anchor="page65">
              <w:r>
                <w:rPr>
                  <w:rFonts w:ascii="Arial" w:cs="Arial" w:eastAsia="Arial" w:hAnsi="Arial"/>
                  <w:sz w:val="18"/>
                  <w:szCs w:val="18"/>
                  <w:color w:val="auto"/>
                  <w:w w:val="93"/>
                </w:rPr>
                <w:t>Consent and Tenth Amendment to Loan and Security Agreement dated September 28, 2018 between the Company and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auto"/>
            </w:tcBorders>
            <w:gridSpan w:val="9"/>
          </w:tcPr>
          <w:p>
            <w:pPr>
              <w:spacing w:after="0" w:line="196" w:lineRule="exact"/>
              <w:rPr>
                <w:rFonts w:ascii="Arial" w:cs="Arial" w:eastAsia="Arial" w:hAnsi="Arial"/>
                <w:sz w:val="18"/>
                <w:szCs w:val="18"/>
                <w:color w:val="auto"/>
              </w:rPr>
            </w:pPr>
            <w:hyperlink w:anchor="page65">
              <w:r>
                <w:rPr>
                  <w:rFonts w:ascii="Arial" w:cs="Arial" w:eastAsia="Arial" w:hAnsi="Arial"/>
                  <w:sz w:val="18"/>
                  <w:szCs w:val="18"/>
                  <w:color w:val="auto"/>
                </w:rPr>
                <w:t>CIBC Bank USA formerly known as The PrivateBank and Trust Company.</w:t>
              </w:r>
            </w:hyperlink>
          </w:p>
        </w:tc>
      </w:tr>
      <w:tr>
        <w:trPr>
          <w:trHeight w:val="250"/>
        </w:trPr>
        <w:tc>
          <w:tcPr>
            <w:tcW w:w="360" w:type="dxa"/>
            <w:vAlign w:val="bottom"/>
            <w:gridSpan w:val="5"/>
          </w:tcPr>
          <w:p>
            <w:pPr>
              <w:jc w:val="center"/>
              <w:ind w:left="90"/>
              <w:spacing w:after="0"/>
              <w:rPr>
                <w:rFonts w:ascii="Arial" w:cs="Arial" w:eastAsia="Arial" w:hAnsi="Arial"/>
                <w:sz w:val="18"/>
                <w:szCs w:val="18"/>
                <w:color w:val="auto"/>
                <w:w w:val="89"/>
              </w:rPr>
            </w:pPr>
            <w:hyperlink w:anchor="page74">
              <w:r>
                <w:rPr>
                  <w:rFonts w:ascii="Arial" w:cs="Arial" w:eastAsia="Arial" w:hAnsi="Arial"/>
                  <w:sz w:val="18"/>
                  <w:szCs w:val="18"/>
                  <w:color w:val="auto"/>
                  <w:w w:val="89"/>
                </w:rPr>
                <w:t>21</w:t>
              </w:r>
            </w:hyperlink>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20" w:type="dxa"/>
            <w:vAlign w:val="bottom"/>
            <w:tcBorders>
              <w:top w:val="single" w:sz="8" w:color="auto"/>
            </w:tcBorders>
            <w:gridSpan w:val="5"/>
          </w:tcPr>
          <w:p>
            <w:pPr>
              <w:spacing w:after="0"/>
              <w:rPr>
                <w:rFonts w:ascii="Arial" w:cs="Arial" w:eastAsia="Arial" w:hAnsi="Arial"/>
                <w:sz w:val="18"/>
                <w:szCs w:val="18"/>
                <w:color w:val="auto"/>
              </w:rPr>
            </w:pPr>
            <w:hyperlink w:anchor="page74">
              <w:r>
                <w:rPr>
                  <w:rFonts w:ascii="Arial" w:cs="Arial" w:eastAsia="Arial" w:hAnsi="Arial"/>
                  <w:sz w:val="18"/>
                  <w:szCs w:val="18"/>
                  <w:color w:val="auto"/>
                </w:rPr>
                <w:t>Subsidiaries of the Company.</w:t>
              </w:r>
            </w:hyperlink>
          </w:p>
        </w:tc>
        <w:tc>
          <w:tcPr>
            <w:tcW w:w="3520" w:type="dxa"/>
            <w:vAlign w:val="bottom"/>
            <w:gridSpan w:val="4"/>
          </w:tcPr>
          <w:p>
            <w:pPr>
              <w:spacing w:after="0"/>
              <w:rPr>
                <w:sz w:val="21"/>
                <w:szCs w:val="21"/>
                <w:color w:val="auto"/>
              </w:rPr>
            </w:pPr>
          </w:p>
        </w:tc>
      </w:tr>
      <w:tr>
        <w:trPr>
          <w:trHeight w:val="20"/>
        </w:trPr>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gridSpan w:val="3"/>
            <w:shd w:val="clear" w:color="auto" w:fill="000000"/>
          </w:tcPr>
          <w:p>
            <w:pPr>
              <w:spacing w:after="0" w:line="20" w:lineRule="exact"/>
              <w:rPr>
                <w:sz w:val="1"/>
                <w:szCs w:val="1"/>
                <w:color w:val="auto"/>
              </w:rPr>
            </w:pPr>
          </w:p>
        </w:tc>
        <w:tc>
          <w:tcPr>
            <w:tcW w:w="6880" w:type="dxa"/>
            <w:vAlign w:val="bottom"/>
            <w:tcBorders>
              <w:left w:val="single" w:sz="8" w:color="auto"/>
            </w:tcBorders>
            <w:gridSpan w:val="6"/>
          </w:tcPr>
          <w:p>
            <w:pPr>
              <w:spacing w:after="0" w:line="20" w:lineRule="exact"/>
              <w:rPr>
                <w:sz w:val="1"/>
                <w:szCs w:val="1"/>
                <w:color w:val="auto"/>
              </w:rPr>
            </w:pPr>
          </w:p>
        </w:tc>
      </w:tr>
      <w:tr>
        <w:trPr>
          <w:trHeight w:val="250"/>
        </w:trPr>
        <w:tc>
          <w:tcPr>
            <w:tcW w:w="360" w:type="dxa"/>
            <w:vAlign w:val="bottom"/>
            <w:gridSpan w:val="5"/>
          </w:tcPr>
          <w:p>
            <w:pPr>
              <w:jc w:val="center"/>
              <w:ind w:left="90"/>
              <w:spacing w:after="0"/>
              <w:rPr>
                <w:rFonts w:ascii="Arial" w:cs="Arial" w:eastAsia="Arial" w:hAnsi="Arial"/>
                <w:sz w:val="18"/>
                <w:szCs w:val="18"/>
                <w:color w:val="auto"/>
                <w:w w:val="89"/>
              </w:rPr>
            </w:pPr>
            <w:hyperlink w:anchor="page75">
              <w:r>
                <w:rPr>
                  <w:rFonts w:ascii="Arial" w:cs="Arial" w:eastAsia="Arial" w:hAnsi="Arial"/>
                  <w:sz w:val="18"/>
                  <w:szCs w:val="18"/>
                  <w:color w:val="auto"/>
                  <w:w w:val="89"/>
                </w:rPr>
                <w:t>23</w:t>
              </w:r>
            </w:hyperlink>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9"/>
          </w:tcPr>
          <w:p>
            <w:pPr>
              <w:spacing w:after="0"/>
              <w:rPr>
                <w:rFonts w:ascii="Arial" w:cs="Arial" w:eastAsia="Arial" w:hAnsi="Arial"/>
                <w:sz w:val="18"/>
                <w:szCs w:val="18"/>
                <w:color w:val="auto"/>
              </w:rPr>
            </w:pPr>
            <w:hyperlink w:anchor="page75">
              <w:r>
                <w:rPr>
                  <w:rFonts w:ascii="Arial" w:cs="Arial" w:eastAsia="Arial" w:hAnsi="Arial"/>
                  <w:sz w:val="18"/>
                  <w:szCs w:val="18"/>
                  <w:color w:val="auto"/>
                </w:rPr>
                <w:t>Consent of BDO USA, LLP.</w:t>
              </w:r>
            </w:hyperlink>
          </w:p>
        </w:tc>
      </w:tr>
      <w:tr>
        <w:trPr>
          <w:trHeight w:val="20"/>
        </w:trPr>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gridSpan w:val="3"/>
            <w:shd w:val="clear" w:color="auto" w:fill="000000"/>
          </w:tcPr>
          <w:p>
            <w:pPr>
              <w:spacing w:after="0" w:line="20" w:lineRule="exact"/>
              <w:rPr>
                <w:sz w:val="1"/>
                <w:szCs w:val="1"/>
                <w:color w:val="auto"/>
              </w:rPr>
            </w:pPr>
          </w:p>
        </w:tc>
        <w:tc>
          <w:tcPr>
            <w:tcW w:w="6880" w:type="dxa"/>
            <w:vAlign w:val="bottom"/>
            <w:gridSpan w:val="6"/>
          </w:tcPr>
          <w:p>
            <w:pPr>
              <w:spacing w:after="0" w:line="20" w:lineRule="exact"/>
              <w:rPr>
                <w:sz w:val="1"/>
                <w:szCs w:val="1"/>
                <w:color w:val="auto"/>
              </w:rPr>
            </w:pPr>
          </w:p>
        </w:tc>
      </w:tr>
      <w:tr>
        <w:trPr>
          <w:trHeight w:val="250"/>
        </w:trPr>
        <w:tc>
          <w:tcPr>
            <w:tcW w:w="480" w:type="dxa"/>
            <w:vAlign w:val="bottom"/>
            <w:gridSpan w:val="7"/>
          </w:tcPr>
          <w:p>
            <w:pPr>
              <w:jc w:val="center"/>
              <w:spacing w:after="0"/>
              <w:rPr>
                <w:rFonts w:ascii="Arial" w:cs="Arial" w:eastAsia="Arial" w:hAnsi="Arial"/>
                <w:sz w:val="18"/>
                <w:szCs w:val="18"/>
                <w:color w:val="auto"/>
                <w:w w:val="85"/>
              </w:rPr>
            </w:pPr>
            <w:hyperlink w:anchor="page88">
              <w:r>
                <w:rPr>
                  <w:rFonts w:ascii="Arial" w:cs="Arial" w:eastAsia="Arial" w:hAnsi="Arial"/>
                  <w:sz w:val="18"/>
                  <w:szCs w:val="18"/>
                  <w:color w:val="auto"/>
                  <w:w w:val="85"/>
                </w:rPr>
                <w:t>31.</w:t>
              </w:r>
              <w:r>
                <w:rPr>
                  <w:rFonts w:ascii="Arial" w:cs="Arial" w:eastAsia="Arial" w:hAnsi="Arial"/>
                  <w:sz w:val="18"/>
                  <w:szCs w:val="18"/>
                  <w:u w:val="single" w:color="auto"/>
                  <w:color w:val="auto"/>
                  <w:w w:val="85"/>
                </w:rPr>
                <w:t>1</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9"/>
          </w:tcPr>
          <w:p>
            <w:pPr>
              <w:spacing w:after="0"/>
              <w:rPr>
                <w:rFonts w:ascii="Arial" w:cs="Arial" w:eastAsia="Arial" w:hAnsi="Arial"/>
                <w:sz w:val="18"/>
                <w:szCs w:val="18"/>
                <w:color w:val="auto"/>
                <w:w w:val="95"/>
              </w:rPr>
            </w:pPr>
            <w:hyperlink w:anchor="page88">
              <w:r>
                <w:rPr>
                  <w:rFonts w:ascii="Arial" w:cs="Arial" w:eastAsia="Arial" w:hAnsi="Arial"/>
                  <w:sz w:val="18"/>
                  <w:szCs w:val="18"/>
                  <w:color w:val="auto"/>
                  <w:w w:val="95"/>
                </w:rPr>
                <w:t>Certification of Chief Executive Officer pursuant to 18 U.S.C. Section 1350 as adopted pursuant to Section 302 of the</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auto"/>
            </w:tcBorders>
            <w:gridSpan w:val="9"/>
          </w:tcPr>
          <w:p>
            <w:pPr>
              <w:spacing w:after="0" w:line="196" w:lineRule="exact"/>
              <w:rPr>
                <w:rFonts w:ascii="Arial" w:cs="Arial" w:eastAsia="Arial" w:hAnsi="Arial"/>
                <w:sz w:val="18"/>
                <w:szCs w:val="18"/>
                <w:color w:val="auto"/>
              </w:rPr>
            </w:pPr>
            <w:hyperlink w:anchor="page88">
              <w:r>
                <w:rPr>
                  <w:rFonts w:ascii="Arial" w:cs="Arial" w:eastAsia="Arial" w:hAnsi="Arial"/>
                  <w:sz w:val="18"/>
                  <w:szCs w:val="18"/>
                  <w:color w:val="auto"/>
                </w:rPr>
                <w:t>Sarbanes-Oxley Act of 2002.</w:t>
              </w:r>
            </w:hyperlink>
          </w:p>
        </w:tc>
      </w:tr>
      <w:tr>
        <w:trPr>
          <w:trHeight w:val="20"/>
        </w:trPr>
        <w:tc>
          <w:tcPr>
            <w:tcW w:w="4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gridSpan w:val="3"/>
            <w:shd w:val="clear" w:color="auto" w:fill="000000"/>
          </w:tcPr>
          <w:p>
            <w:pPr>
              <w:spacing w:after="0" w:line="20" w:lineRule="exact"/>
              <w:rPr>
                <w:sz w:val="1"/>
                <w:szCs w:val="1"/>
                <w:color w:val="auto"/>
              </w:rPr>
            </w:pPr>
          </w:p>
        </w:tc>
        <w:tc>
          <w:tcPr>
            <w:tcW w:w="6880" w:type="dxa"/>
            <w:vAlign w:val="bottom"/>
            <w:gridSpan w:val="6"/>
          </w:tcPr>
          <w:p>
            <w:pPr>
              <w:spacing w:after="0" w:line="20" w:lineRule="exact"/>
              <w:rPr>
                <w:sz w:val="1"/>
                <w:szCs w:val="1"/>
                <w:color w:val="auto"/>
              </w:rPr>
            </w:pPr>
          </w:p>
        </w:tc>
      </w:tr>
      <w:tr>
        <w:trPr>
          <w:trHeight w:val="250"/>
        </w:trPr>
        <w:tc>
          <w:tcPr>
            <w:tcW w:w="480" w:type="dxa"/>
            <w:vAlign w:val="bottom"/>
            <w:gridSpan w:val="7"/>
          </w:tcPr>
          <w:p>
            <w:pPr>
              <w:jc w:val="center"/>
              <w:spacing w:after="0"/>
              <w:rPr>
                <w:rFonts w:ascii="Arial" w:cs="Arial" w:eastAsia="Arial" w:hAnsi="Arial"/>
                <w:sz w:val="18"/>
                <w:szCs w:val="18"/>
                <w:color w:val="auto"/>
                <w:w w:val="85"/>
              </w:rPr>
            </w:pPr>
            <w:hyperlink w:anchor="page90">
              <w:r>
                <w:rPr>
                  <w:rFonts w:ascii="Arial" w:cs="Arial" w:eastAsia="Arial" w:hAnsi="Arial"/>
                  <w:sz w:val="18"/>
                  <w:szCs w:val="18"/>
                  <w:color w:val="auto"/>
                  <w:w w:val="85"/>
                </w:rPr>
                <w:t>31.</w:t>
              </w:r>
              <w:r>
                <w:rPr>
                  <w:rFonts w:ascii="Arial" w:cs="Arial" w:eastAsia="Arial" w:hAnsi="Arial"/>
                  <w:sz w:val="18"/>
                  <w:szCs w:val="18"/>
                  <w:u w:val="single" w:color="auto"/>
                  <w:color w:val="auto"/>
                  <w:w w:val="85"/>
                </w:rPr>
                <w:t>2</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9"/>
          </w:tcPr>
          <w:p>
            <w:pPr>
              <w:spacing w:after="0"/>
              <w:rPr>
                <w:rFonts w:ascii="Arial" w:cs="Arial" w:eastAsia="Arial" w:hAnsi="Arial"/>
                <w:sz w:val="18"/>
                <w:szCs w:val="18"/>
                <w:color w:val="auto"/>
                <w:w w:val="96"/>
              </w:rPr>
            </w:pPr>
            <w:hyperlink w:anchor="page90">
              <w:r>
                <w:rPr>
                  <w:rFonts w:ascii="Arial" w:cs="Arial" w:eastAsia="Arial" w:hAnsi="Arial"/>
                  <w:sz w:val="18"/>
                  <w:szCs w:val="18"/>
                  <w:color w:val="auto"/>
                  <w:w w:val="96"/>
                </w:rPr>
                <w:t>Certification of Chief Financial Officer pursuant to 18 U.S.C. Section 1350 as adopted pursuant to Section 302 of the</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auto"/>
            </w:tcBorders>
            <w:gridSpan w:val="9"/>
          </w:tcPr>
          <w:p>
            <w:pPr>
              <w:spacing w:after="0" w:line="196" w:lineRule="exact"/>
              <w:rPr>
                <w:rFonts w:ascii="Arial" w:cs="Arial" w:eastAsia="Arial" w:hAnsi="Arial"/>
                <w:sz w:val="18"/>
                <w:szCs w:val="18"/>
                <w:color w:val="auto"/>
              </w:rPr>
            </w:pPr>
            <w:hyperlink w:anchor="page90">
              <w:r>
                <w:rPr>
                  <w:rFonts w:ascii="Arial" w:cs="Arial" w:eastAsia="Arial" w:hAnsi="Arial"/>
                  <w:sz w:val="18"/>
                  <w:szCs w:val="18"/>
                  <w:color w:val="auto"/>
                </w:rPr>
                <w:t>Sarbanes-Oxley Act of 2002.</w:t>
              </w:r>
            </w:hyperlink>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67" w:lineRule="exact"/>
        <w:rPr>
          <w:sz w:val="20"/>
          <w:szCs w:val="20"/>
          <w:color w:val="auto"/>
        </w:rPr>
      </w:pPr>
    </w:p>
    <w:p>
      <w:pPr>
        <w:ind w:left="1612" w:hanging="1061"/>
        <w:spacing w:after="0" w:line="277" w:lineRule="auto"/>
        <w:tabs>
          <w:tab w:leader="none" w:pos="1612" w:val="left"/>
        </w:tabs>
        <w:numPr>
          <w:ilvl w:val="0"/>
          <w:numId w:val="18"/>
        </w:numPr>
        <w:rPr>
          <w:rFonts w:ascii="Arial" w:cs="Arial" w:eastAsia="Arial" w:hAnsi="Arial"/>
          <w:sz w:val="18"/>
          <w:szCs w:val="18"/>
          <w:u w:val="single" w:color="auto"/>
          <w:color w:val="auto"/>
        </w:rPr>
      </w:pPr>
      <w:hyperlink w:anchor="page91">
        <w:r>
          <w:rPr>
            <w:rFonts w:ascii="Arial" w:cs="Arial" w:eastAsia="Arial" w:hAnsi="Arial"/>
            <w:sz w:val="18"/>
            <w:szCs w:val="18"/>
            <w:u w:val="single" w:color="auto"/>
            <w:color w:val="auto"/>
          </w:rPr>
          <w:t>Certification of Chief Executive Officer and Chief Financial Officer pursuant to 18 U.S.C. Section 1350 as adopted</w:t>
        </w:r>
      </w:hyperlink>
      <w:r>
        <w:rPr>
          <w:rFonts w:ascii="Arial" w:cs="Arial" w:eastAsia="Arial" w:hAnsi="Arial"/>
          <w:sz w:val="18"/>
          <w:szCs w:val="18"/>
          <w:u w:val="single" w:color="auto"/>
          <w:color w:val="auto"/>
        </w:rPr>
        <w:t xml:space="preserve"> </w:t>
      </w:r>
      <w:hyperlink w:anchor="page91">
        <w:r>
          <w:rPr>
            <w:rFonts w:ascii="Arial" w:cs="Arial" w:eastAsia="Arial" w:hAnsi="Arial"/>
            <w:sz w:val="18"/>
            <w:szCs w:val="18"/>
            <w:u w:val="single" w:color="auto"/>
            <w:color w:val="auto"/>
          </w:rPr>
          <w:t>pursuant to Section 906 of the Sarbanes-Oxley Act of 2002.</w:t>
        </w:r>
      </w:hyperlink>
    </w:p>
    <w:p>
      <w:pPr>
        <w:spacing w:after="0" w:line="8" w:lineRule="exact"/>
        <w:rPr>
          <w:rFonts w:ascii="Arial" w:cs="Arial" w:eastAsia="Arial" w:hAnsi="Arial"/>
          <w:sz w:val="18"/>
          <w:szCs w:val="18"/>
          <w:u w:val="single" w:color="auto"/>
          <w:color w:val="auto"/>
        </w:rPr>
      </w:pPr>
    </w:p>
    <w:tbl>
      <w:tblPr>
        <w:tblLayout w:type="fixed"/>
        <w:tblInd w:w="312" w:type="dxa"/>
        <w:tblCellMar>
          <w:top w:w="0" w:type="dxa"/>
          <w:left w:w="0" w:type="dxa"/>
          <w:bottom w:w="0" w:type="dxa"/>
          <w:right w:w="0" w:type="dxa"/>
        </w:tblCellMar>
      </w:tblP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101.INS</w:t>
            </w:r>
          </w:p>
        </w:tc>
        <w:tc>
          <w:tcPr>
            <w:tcW w:w="4820" w:type="dxa"/>
            <w:vAlign w:val="bottom"/>
          </w:tcPr>
          <w:p>
            <w:pPr>
              <w:ind w:left="320"/>
              <w:spacing w:after="0"/>
              <w:rPr>
                <w:sz w:val="20"/>
                <w:szCs w:val="20"/>
                <w:color w:val="auto"/>
              </w:rPr>
            </w:pPr>
            <w:r>
              <w:rPr>
                <w:rFonts w:ascii="Arial" w:cs="Arial" w:eastAsia="Arial" w:hAnsi="Arial"/>
                <w:sz w:val="18"/>
                <w:szCs w:val="18"/>
                <w:color w:val="auto"/>
              </w:rPr>
              <w:t>XBRL Instance Document</w:t>
            </w:r>
          </w:p>
        </w:tc>
      </w:tr>
      <w:tr>
        <w:trPr>
          <w:trHeight w:val="48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4820" w:type="dxa"/>
            <w:vAlign w:val="bottom"/>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48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4820" w:type="dxa"/>
            <w:vAlign w:val="bottom"/>
          </w:tcPr>
          <w:p>
            <w:pPr>
              <w:ind w:left="32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8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4820" w:type="dxa"/>
            <w:vAlign w:val="bottom"/>
          </w:tcPr>
          <w:p>
            <w:pPr>
              <w:ind w:left="32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48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4820" w:type="dxa"/>
            <w:vAlign w:val="bottom"/>
          </w:tcPr>
          <w:p>
            <w:pPr>
              <w:ind w:left="320"/>
              <w:spacing w:after="0"/>
              <w:rPr>
                <w:sz w:val="20"/>
                <w:szCs w:val="20"/>
                <w:color w:val="auto"/>
              </w:rPr>
            </w:pPr>
            <w:r>
              <w:rPr>
                <w:rFonts w:ascii="Arial" w:cs="Arial" w:eastAsia="Arial" w:hAnsi="Arial"/>
                <w:sz w:val="18"/>
                <w:szCs w:val="18"/>
                <w:color w:val="auto"/>
              </w:rPr>
              <w:t>XBRL Taxonomy Extension Label Linkbase Document</w:t>
            </w:r>
          </w:p>
        </w:tc>
      </w:tr>
      <w:tr>
        <w:trPr>
          <w:trHeight w:val="486"/>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4820" w:type="dxa"/>
            <w:vAlign w:val="bottom"/>
          </w:tcPr>
          <w:p>
            <w:pPr>
              <w:ind w:left="32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0" w:lineRule="exact"/>
        <w:rPr>
          <w:rFonts w:ascii="Arial" w:cs="Arial" w:eastAsia="Arial" w:hAnsi="Arial"/>
          <w:sz w:val="18"/>
          <w:szCs w:val="18"/>
          <w:u w:val="single" w:color="auto"/>
          <w:color w:val="auto"/>
        </w:rPr>
      </w:pPr>
    </w:p>
    <w:p>
      <w:pPr>
        <w:spacing w:after="0" w:line="245" w:lineRule="exact"/>
        <w:rPr>
          <w:rFonts w:ascii="Arial" w:cs="Arial" w:eastAsia="Arial" w:hAnsi="Arial"/>
          <w:sz w:val="18"/>
          <w:szCs w:val="18"/>
          <w:u w:val="single" w:color="auto"/>
          <w:color w:val="auto"/>
        </w:rPr>
      </w:pPr>
    </w:p>
    <w:p>
      <w:pPr>
        <w:ind w:left="132" w:hanging="132"/>
        <w:spacing w:after="0"/>
        <w:tabs>
          <w:tab w:leader="none" w:pos="132"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Indicates management employment contracts or compensatory plans or arrangements.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84" w:lineRule="exact"/>
        <w:rPr>
          <w:rFonts w:ascii="Arial" w:cs="Arial" w:eastAsia="Arial" w:hAnsi="Arial"/>
          <w:sz w:val="18"/>
          <w:szCs w:val="18"/>
          <w:b w:val="1"/>
          <w:bCs w:val="1"/>
          <w:color w:val="auto"/>
        </w:rPr>
      </w:pPr>
    </w:p>
    <w:p>
      <w:pPr>
        <w:ind w:left="5612"/>
        <w:spacing w:after="0"/>
        <w:rPr>
          <w:rFonts w:ascii="Arial" w:cs="Arial" w:eastAsia="Arial" w:hAnsi="Arial"/>
          <w:sz w:val="18"/>
          <w:szCs w:val="18"/>
          <w:b w:val="1"/>
          <w:bCs w:val="1"/>
          <w:color w:val="auto"/>
        </w:rPr>
      </w:pPr>
      <w:r>
        <w:rPr>
          <w:rFonts w:ascii="Arial" w:cs="Arial" w:eastAsia="Arial" w:hAnsi="Arial"/>
          <w:sz w:val="18"/>
          <w:szCs w:val="18"/>
          <w:color w:val="auto"/>
        </w:rPr>
        <w:t>63</w:t>
      </w:r>
    </w:p>
    <w:p>
      <w:pPr>
        <w:sectPr>
          <w:pgSz w:w="11900" w:h="16838" w:orient="portrait"/>
          <w:cols w:equalWidth="0" w:num="1">
            <w:col w:w="10552"/>
          </w:cols>
          <w:pgMar w:left="248" w:top="121" w:right="10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LAWSON PRODUCTS, INC</w:t>
      </w:r>
    </w:p>
    <w:p>
      <w:pPr>
        <w:spacing w:after="0" w:line="387"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By: /s/ Michael G. DeCata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109220</wp:posOffset>
            </wp:positionV>
            <wp:extent cx="1878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78"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Michael G. DeCata</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7"/>
          <w:szCs w:val="17"/>
          <w:color w:val="auto"/>
        </w:rPr>
        <w:t>President, Chief Executive Officer and</w:t>
      </w:r>
    </w:p>
    <w:p>
      <w:pPr>
        <w:spacing w:after="0" w:line="35"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Director</w:t>
      </w:r>
    </w:p>
    <w:p>
      <w:pPr>
        <w:spacing w:after="0" w:line="49"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executive officer)</w:t>
      </w:r>
    </w:p>
    <w:p>
      <w:pPr>
        <w:spacing w:after="0" w:line="360"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Date: March 4, 2019</w:t>
      </w:r>
    </w:p>
    <w:p>
      <w:pPr>
        <w:spacing w:after="0" w:line="200" w:lineRule="exact"/>
        <w:rPr>
          <w:sz w:val="20"/>
          <w:szCs w:val="20"/>
          <w:color w:val="auto"/>
        </w:rPr>
      </w:pPr>
    </w:p>
    <w:p>
      <w:pPr>
        <w:spacing w:after="0" w:line="214"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By: /s/ Ronald J. Knutson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109220</wp:posOffset>
            </wp:positionV>
            <wp:extent cx="1878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78"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Ronald J. Knutson</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Executive Vice President, Chief</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Financial Officer, Treasurer and</w:t>
      </w:r>
    </w:p>
    <w:p>
      <w:pPr>
        <w:spacing w:after="0" w:line="9"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Controller</w:t>
      </w:r>
    </w:p>
    <w:p>
      <w:pPr>
        <w:spacing w:after="0" w:line="49"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financial and accounting</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officer)</w:t>
      </w:r>
    </w:p>
    <w:p>
      <w:pPr>
        <w:spacing w:after="0" w:line="346"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Date: March 4, 2019</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this fourth day of March, 2019, by the following persons on behalf of the registrant and in the capacities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ind w:left="2180"/>
              <w:spacing w:after="0"/>
              <w:rPr>
                <w:sz w:val="20"/>
                <w:szCs w:val="20"/>
                <w:color w:val="auto"/>
              </w:rPr>
            </w:pPr>
            <w:r>
              <w:rPr>
                <w:rFonts w:ascii="Arial" w:cs="Arial" w:eastAsia="Arial" w:hAnsi="Arial"/>
                <w:sz w:val="18"/>
                <w:szCs w:val="18"/>
                <w:b w:val="1"/>
                <w:bCs w:val="1"/>
                <w:color w:val="auto"/>
              </w:rPr>
              <w:t>Signature</w:t>
            </w:r>
          </w:p>
        </w:tc>
        <w:tc>
          <w:tcPr>
            <w:tcW w:w="620" w:type="dxa"/>
            <w:vAlign w:val="bottom"/>
          </w:tcPr>
          <w:p>
            <w:pPr>
              <w:spacing w:after="0"/>
              <w:rPr>
                <w:sz w:val="20"/>
                <w:szCs w:val="20"/>
                <w:color w:val="auto"/>
              </w:rPr>
            </w:pP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480"/>
        </w:trPr>
        <w:tc>
          <w:tcPr>
            <w:tcW w:w="5120" w:type="dxa"/>
            <w:vAlign w:val="bottom"/>
          </w:tcPr>
          <w:p>
            <w:pPr>
              <w:ind w:left="40"/>
              <w:spacing w:after="0"/>
              <w:rPr>
                <w:sz w:val="20"/>
                <w:szCs w:val="20"/>
                <w:color w:val="auto"/>
              </w:rPr>
            </w:pPr>
            <w:r>
              <w:rPr>
                <w:rFonts w:ascii="Arial" w:cs="Arial" w:eastAsia="Arial" w:hAnsi="Arial"/>
                <w:sz w:val="18"/>
                <w:szCs w:val="18"/>
                <w:color w:val="auto"/>
              </w:rPr>
              <w:t>/s/ Andrew B. Albert</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Andrew B. Albert</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I. Steven Edelson</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I. Steven Edelson</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Lee S. Hillman</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Lee S. Hillman</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/s/ J. Bryan King</w:t>
            </w:r>
          </w:p>
        </w:tc>
        <w:tc>
          <w:tcPr>
            <w:tcW w:w="620" w:type="dxa"/>
            <w:vAlign w:val="bottom"/>
          </w:tcPr>
          <w:p>
            <w:pPr>
              <w:spacing w:after="0"/>
              <w:rPr>
                <w:sz w:val="23"/>
                <w:szCs w:val="23"/>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J. Bryan King</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Thomas S. Postek</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Thomas S. Postek</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Wilma J. Smelcer</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Wilma J. Smelcer</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486"/>
        </w:trPr>
        <w:tc>
          <w:tcPr>
            <w:tcW w:w="5120" w:type="dxa"/>
            <w:vAlign w:val="bottom"/>
          </w:tcPr>
          <w:p>
            <w:pPr>
              <w:spacing w:after="0"/>
              <w:rPr>
                <w:sz w:val="24"/>
                <w:szCs w:val="24"/>
                <w:color w:val="auto"/>
              </w:rPr>
            </w:pPr>
          </w:p>
        </w:tc>
        <w:tc>
          <w:tcPr>
            <w:tcW w:w="5500" w:type="dxa"/>
            <w:vAlign w:val="bottom"/>
            <w:gridSpan w:val="2"/>
          </w:tcPr>
          <w:p>
            <w:pPr>
              <w:jc w:val="right"/>
              <w:ind w:right="4730"/>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400"/>
          </w:cols>
          <w:pgMar w:left="240" w:top="125" w:right="259" w:bottom="1440" w:gutter="0" w:footer="0" w:header="0"/>
        </w:sectPr>
      </w:pPr>
    </w:p>
    <w:bookmarkStart w:id="64" w:name="page65"/>
    <w:bookmarkEnd w:id="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63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1">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2">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7">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EXHIBIT 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440" w:type="dxa"/>
            <w:vAlign w:val="bottom"/>
            <w:gridSpan w:val="2"/>
          </w:tcPr>
          <w:p>
            <w:pPr>
              <w:ind w:left="40"/>
              <w:spacing w:after="0"/>
              <w:rPr>
                <w:sz w:val="20"/>
                <w:szCs w:val="20"/>
                <w:color w:val="auto"/>
              </w:rPr>
            </w:pPr>
            <w:r>
              <w:rPr>
                <w:rFonts w:ascii="Arial" w:cs="Arial" w:eastAsia="Arial" w:hAnsi="Arial"/>
                <w:sz w:val="20"/>
                <w:szCs w:val="20"/>
                <w:b w:val="1"/>
                <w:bCs w:val="1"/>
                <w:color w:val="auto"/>
              </w:rPr>
              <w:t>Name</w:t>
            </w:r>
          </w:p>
        </w:tc>
        <w:tc>
          <w:tcPr>
            <w:tcW w:w="3980" w:type="dxa"/>
            <w:vAlign w:val="bottom"/>
          </w:tcPr>
          <w:p>
            <w:pPr>
              <w:ind w:left="20"/>
              <w:spacing w:after="0"/>
              <w:rPr>
                <w:sz w:val="20"/>
                <w:szCs w:val="20"/>
                <w:color w:val="auto"/>
              </w:rPr>
            </w:pPr>
            <w:r>
              <w:rPr>
                <w:rFonts w:ascii="Arial" w:cs="Arial" w:eastAsia="Arial" w:hAnsi="Arial"/>
                <w:sz w:val="20"/>
                <w:szCs w:val="20"/>
                <w:b w:val="1"/>
                <w:bCs w:val="1"/>
                <w:color w:val="auto"/>
              </w:rPr>
              <w:t>Jurisdiction of Incorporation</w:t>
            </w:r>
          </w:p>
        </w:tc>
      </w:tr>
      <w:tr>
        <w:trPr>
          <w:trHeight w:val="23"/>
        </w:trPr>
        <w:tc>
          <w:tcPr>
            <w:tcW w:w="64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524"/>
        </w:trPr>
        <w:tc>
          <w:tcPr>
            <w:tcW w:w="7440" w:type="dxa"/>
            <w:vAlign w:val="bottom"/>
            <w:gridSpan w:val="2"/>
          </w:tcPr>
          <w:p>
            <w:pPr>
              <w:ind w:left="40"/>
              <w:spacing w:after="0"/>
              <w:rPr>
                <w:sz w:val="20"/>
                <w:szCs w:val="20"/>
                <w:color w:val="auto"/>
              </w:rPr>
            </w:pPr>
            <w:r>
              <w:rPr>
                <w:rFonts w:ascii="Arial" w:cs="Arial" w:eastAsia="Arial" w:hAnsi="Arial"/>
                <w:sz w:val="20"/>
                <w:szCs w:val="20"/>
                <w:color w:val="auto"/>
              </w:rPr>
              <w:t>Lawson Products, Inc.</w:t>
            </w:r>
          </w:p>
        </w:tc>
        <w:tc>
          <w:tcPr>
            <w:tcW w:w="3980" w:type="dxa"/>
            <w:vAlign w:val="bottom"/>
          </w:tcPr>
          <w:p>
            <w:pPr>
              <w:ind w:left="20"/>
              <w:spacing w:after="0"/>
              <w:rPr>
                <w:sz w:val="20"/>
                <w:szCs w:val="20"/>
                <w:color w:val="auto"/>
              </w:rPr>
            </w:pPr>
            <w:r>
              <w:rPr>
                <w:rFonts w:ascii="Arial" w:cs="Arial" w:eastAsia="Arial" w:hAnsi="Arial"/>
                <w:sz w:val="20"/>
                <w:szCs w:val="20"/>
                <w:color w:val="auto"/>
              </w:rPr>
              <w:t>Illinois</w:t>
            </w:r>
          </w:p>
        </w:tc>
      </w:tr>
      <w:tr>
        <w:trPr>
          <w:trHeight w:val="284"/>
        </w:trPr>
        <w:tc>
          <w:tcPr>
            <w:tcW w:w="7440" w:type="dxa"/>
            <w:vAlign w:val="bottom"/>
            <w:gridSpan w:val="2"/>
          </w:tcPr>
          <w:p>
            <w:pPr>
              <w:ind w:left="40"/>
              <w:spacing w:after="0"/>
              <w:rPr>
                <w:sz w:val="20"/>
                <w:szCs w:val="20"/>
                <w:color w:val="auto"/>
              </w:rPr>
            </w:pPr>
            <w:r>
              <w:rPr>
                <w:rFonts w:ascii="Arial" w:cs="Arial" w:eastAsia="Arial" w:hAnsi="Arial"/>
                <w:sz w:val="20"/>
                <w:szCs w:val="20"/>
                <w:color w:val="auto"/>
              </w:rPr>
              <w:t>Lawson Products Canada Inc.</w:t>
            </w:r>
          </w:p>
        </w:tc>
        <w:tc>
          <w:tcPr>
            <w:tcW w:w="3980" w:type="dxa"/>
            <w:vAlign w:val="bottom"/>
          </w:tcPr>
          <w:p>
            <w:pPr>
              <w:ind w:left="20"/>
              <w:spacing w:after="0"/>
              <w:rPr>
                <w:sz w:val="20"/>
                <w:szCs w:val="20"/>
                <w:color w:val="auto"/>
              </w:rPr>
            </w:pPr>
            <w:r>
              <w:rPr>
                <w:rFonts w:ascii="Arial" w:cs="Arial" w:eastAsia="Arial" w:hAnsi="Arial"/>
                <w:sz w:val="20"/>
                <w:szCs w:val="20"/>
                <w:color w:val="auto"/>
              </w:rPr>
              <w:t>British Columbia, Canada</w:t>
            </w:r>
          </w:p>
        </w:tc>
      </w:tr>
      <w:tr>
        <w:trPr>
          <w:trHeight w:val="284"/>
        </w:trPr>
        <w:tc>
          <w:tcPr>
            <w:tcW w:w="7440" w:type="dxa"/>
            <w:vAlign w:val="bottom"/>
            <w:gridSpan w:val="2"/>
          </w:tcPr>
          <w:p>
            <w:pPr>
              <w:ind w:left="40"/>
              <w:spacing w:after="0"/>
              <w:rPr>
                <w:sz w:val="20"/>
                <w:szCs w:val="20"/>
                <w:color w:val="auto"/>
              </w:rPr>
            </w:pPr>
            <w:r>
              <w:rPr>
                <w:rFonts w:ascii="Arial" w:cs="Arial" w:eastAsia="Arial" w:hAnsi="Arial"/>
                <w:sz w:val="20"/>
                <w:szCs w:val="20"/>
                <w:color w:val="auto"/>
              </w:rPr>
              <w:t>The Bolt Supply House Ltd.</w:t>
            </w:r>
          </w:p>
        </w:tc>
        <w:tc>
          <w:tcPr>
            <w:tcW w:w="3980" w:type="dxa"/>
            <w:vAlign w:val="bottom"/>
          </w:tcPr>
          <w:p>
            <w:pPr>
              <w:ind w:left="20"/>
              <w:spacing w:after="0"/>
              <w:rPr>
                <w:sz w:val="20"/>
                <w:szCs w:val="20"/>
                <w:color w:val="auto"/>
              </w:rPr>
            </w:pPr>
            <w:r>
              <w:rPr>
                <w:rFonts w:ascii="Arial" w:cs="Arial" w:eastAsia="Arial" w:hAnsi="Arial"/>
                <w:sz w:val="20"/>
                <w:szCs w:val="20"/>
                <w:color w:val="auto"/>
              </w:rPr>
              <w:t>Alberta, Canada</w:t>
            </w: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Subsidiaries, that in the aggregate are not considered significant to the consolidated results of the Company at the end of December 31, 2018, have been omitted</w:t>
      </w:r>
    </w:p>
    <w:p>
      <w:pPr>
        <w:sectPr>
          <w:pgSz w:w="11900" w:h="16838" w:orient="portrait"/>
          <w:cols w:equalWidth="0" w:num="1">
            <w:col w:w="11420"/>
          </w:cols>
          <w:pgMar w:left="240" w:top="580"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EXHIBIT 23</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Lawson Products,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Forms S-3 (No. 333-202169) and Form S-8 (No. 333-199243) of Lawson Products, Inc. of our reports dated March 4, 2019, relating to the consolidated financial statements and financial statement schedule, and the effectiveness of Lawson Products, Inc.’s internal control over financial reporting, which appear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4, 2019</w:t>
      </w:r>
    </w:p>
    <w:p>
      <w:pPr>
        <w:sectPr>
          <w:pgSz w:w="11900" w:h="16838" w:orient="portrait"/>
          <w:cols w:equalWidth="0" w:num="1">
            <w:col w:w="11420"/>
          </w:cols>
          <w:pgMar w:left="240" w:top="580" w:right="239" w:bottom="1440" w:gutter="0" w:footer="0" w:header="0"/>
        </w:sectPr>
      </w:pPr>
    </w:p>
    <w:bookmarkStart w:id="75" w:name="page76"/>
    <w:bookmarkEnd w:id="75"/>
    <w:p>
      <w:pPr>
        <w:ind w:left="6100"/>
        <w:spacing w:after="0"/>
        <w:rPr>
          <w:sz w:val="20"/>
          <w:szCs w:val="20"/>
          <w:color w:val="auto"/>
        </w:rPr>
      </w:pPr>
      <w:r>
        <w:rPr>
          <w:rFonts w:ascii="Arial" w:cs="Arial" w:eastAsia="Arial" w:hAnsi="Arial"/>
          <w:sz w:val="20"/>
          <w:szCs w:val="20"/>
          <w:b w:val="1"/>
          <w:bCs w:val="1"/>
          <w:u w:val="single" w:color="auto"/>
          <w:color w:val="auto"/>
        </w:rPr>
        <w:t>COMMITMENT LETTER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Bolt Supply House Ltd.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Terms and Conditions</w:t>
      </w:r>
    </w:p>
    <w:p>
      <w:pPr>
        <w:spacing w:after="0" w:line="200" w:lineRule="exact"/>
        <w:rPr>
          <w:sz w:val="20"/>
          <w:szCs w:val="20"/>
          <w:color w:val="auto"/>
        </w:rPr>
      </w:pPr>
    </w:p>
    <w:p>
      <w:pPr>
        <w:spacing w:after="0" w:line="30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Bank of Montreal ("BMO") is pleased to advise that it has authorized the following credit facility for The Bolt Supply House Ltd. on the terms and conditions outlined in this Commitment Letter. The Schedules listed below and attached form part of this Commitment Letter.</w:t>
      </w:r>
    </w:p>
    <w:p>
      <w:pPr>
        <w:spacing w:after="0" w:line="159"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Notwithstanding any other provision of this Commitment Letter, any Advance under any Facility hereunder will be made at BMO's sole discretion. Any unutilized portion of any Facility hereunder may be cancelled by BMO at any time without prior notice.</w:t>
      </w:r>
    </w:p>
    <w:p>
      <w:pPr>
        <w:sectPr>
          <w:pgSz w:w="11900" w:h="16838" w:orient="portrait"/>
          <w:cols w:equalWidth="0" w:num="1">
            <w:col w:w="11360"/>
          </w:cols>
          <w:pgMar w:left="300" w:top="576"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Borrower: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Bolt Supply House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color w:val="auto"/>
        </w:rPr>
        <w:t>(the "Borrower")</w:t>
      </w:r>
    </w:p>
    <w:p>
      <w:pPr>
        <w:spacing w:after="0" w:line="200" w:lineRule="exact"/>
        <w:rPr>
          <w:sz w:val="20"/>
          <w:szCs w:val="20"/>
          <w:color w:val="auto"/>
        </w:rPr>
      </w:pPr>
    </w:p>
    <w:p>
      <w:pPr>
        <w:sectPr>
          <w:pgSz w:w="11900" w:h="16838" w:orient="portrait"/>
          <w:cols w:equalWidth="0" w:num="3">
            <w:col w:w="660" w:space="180"/>
            <w:col w:w="1840" w:space="180"/>
            <w:col w:w="8500"/>
          </w:cols>
          <w:pgMar w:left="300" w:top="576" w:right="239" w:bottom="1440" w:gutter="0" w:footer="0" w:header="0"/>
          <w:type w:val="continuous"/>
        </w:sect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14"/>
          <w:szCs w:val="14"/>
          <w:u w:val="single" w:color="auto"/>
          <w:color w:val="auto"/>
        </w:rPr>
        <w:t>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49530</wp:posOffset>
            </wp:positionV>
            <wp:extent cx="660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BMO Bank of Montreal</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(the "Bank")</w:t>
      </w:r>
    </w:p>
    <w:p>
      <w:pPr>
        <w:spacing w:after="0" w:line="200" w:lineRule="exact"/>
        <w:rPr>
          <w:sz w:val="20"/>
          <w:szCs w:val="20"/>
          <w:color w:val="auto"/>
        </w:rPr>
      </w:pPr>
    </w:p>
    <w:p>
      <w:pPr>
        <w:sectPr>
          <w:pgSz w:w="11900" w:h="16838" w:orient="portrait"/>
          <w:cols w:equalWidth="0" w:num="3">
            <w:col w:w="4840" w:space="720"/>
            <w:col w:w="4240" w:space="720"/>
            <w:col w:w="840"/>
          </w:cols>
          <w:pgMar w:left="300" w:top="576" w:right="239" w:bottom="1440"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A. CREDIT FACILITIES:</w:t>
      </w:r>
    </w:p>
    <w:p>
      <w:pPr>
        <w:spacing w:after="0" w:line="231" w:lineRule="exact"/>
        <w:rPr>
          <w:sz w:val="20"/>
          <w:szCs w:val="20"/>
          <w:color w:val="auto"/>
        </w:rPr>
      </w:pPr>
    </w:p>
    <w:p>
      <w:pPr>
        <w:spacing w:after="0"/>
        <w:tabs>
          <w:tab w:leader="none" w:pos="1200" w:val="left"/>
        </w:tabs>
        <w:rPr>
          <w:sz w:val="20"/>
          <w:szCs w:val="20"/>
          <w:color w:val="auto"/>
        </w:rPr>
      </w:pPr>
      <w:r>
        <w:rPr>
          <w:rFonts w:ascii="Arial" w:cs="Arial" w:eastAsia="Arial" w:hAnsi="Arial"/>
          <w:sz w:val="16"/>
          <w:szCs w:val="16"/>
          <w:b w:val="1"/>
          <w:bCs w:val="1"/>
          <w:u w:val="single" w:color="auto"/>
          <w:color w:val="auto"/>
        </w:rPr>
        <w:t>FACILITY #1:</w:t>
        <w:tab/>
        <w:t>CDN DOLLAR MASTERLINE FACILITY</w:t>
      </w:r>
    </w:p>
    <w:p>
      <w:pPr>
        <w:spacing w:after="0" w:line="144"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6"/>
          <w:szCs w:val="16"/>
          <w:u w:val="single" w:color="auto"/>
          <w:color w:val="auto"/>
        </w:rPr>
        <w:t>Amount:</w:t>
      </w:r>
      <w:r>
        <w:rPr>
          <w:sz w:val="20"/>
          <w:szCs w:val="20"/>
          <w:color w:val="auto"/>
        </w:rPr>
        <w:tab/>
      </w:r>
      <w:r>
        <w:rPr>
          <w:rFonts w:ascii="Arial" w:cs="Arial" w:eastAsia="Arial" w:hAnsi="Arial"/>
          <w:sz w:val="16"/>
          <w:szCs w:val="16"/>
          <w:color w:val="auto"/>
        </w:rPr>
        <w:t>Maximum $5,500,000</w:t>
      </w:r>
    </w:p>
    <w:p>
      <w:pPr>
        <w:spacing w:after="0" w:line="140"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6"/>
          <w:szCs w:val="16"/>
          <w:u w:val="single" w:color="auto"/>
          <w:color w:val="auto"/>
        </w:rPr>
        <w:t>Repayment:</w:t>
      </w:r>
      <w:r>
        <w:rPr>
          <w:sz w:val="20"/>
          <w:szCs w:val="20"/>
          <w:color w:val="auto"/>
        </w:rPr>
        <w:tab/>
      </w:r>
      <w:r>
        <w:rPr>
          <w:rFonts w:ascii="Arial" w:cs="Arial" w:eastAsia="Arial" w:hAnsi="Arial"/>
          <w:sz w:val="16"/>
          <w:szCs w:val="16"/>
          <w:color w:val="auto"/>
        </w:rPr>
        <w:t>From Business receipts.</w:t>
      </w:r>
    </w:p>
    <w:p>
      <w:pPr>
        <w:spacing w:after="0" w:line="140"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Availability:</w:t>
      </w:r>
      <w:r>
        <w:rPr>
          <w:sz w:val="20"/>
          <w:szCs w:val="20"/>
          <w:color w:val="auto"/>
        </w:rPr>
        <w:tab/>
      </w:r>
      <w:r>
        <w:rPr>
          <w:rFonts w:ascii="Arial" w:cs="Arial" w:eastAsia="Arial" w:hAnsi="Arial"/>
          <w:sz w:val="16"/>
          <w:szCs w:val="16"/>
          <w:color w:val="auto"/>
        </w:rPr>
        <w:t>To be available in any combination of the following borrowing options</w:t>
      </w:r>
    </w:p>
    <w:p>
      <w:pPr>
        <w:spacing w:after="0" w:line="383" w:lineRule="exact"/>
        <w:rPr>
          <w:sz w:val="20"/>
          <w:szCs w:val="20"/>
          <w:color w:val="auto"/>
        </w:rPr>
      </w:pPr>
    </w:p>
    <w:p>
      <w:pPr>
        <w:ind w:left="2040" w:right="200"/>
        <w:spacing w:after="0" w:line="303" w:lineRule="auto"/>
        <w:rPr>
          <w:sz w:val="20"/>
          <w:szCs w:val="20"/>
          <w:color w:val="auto"/>
        </w:rPr>
      </w:pPr>
      <w:r>
        <w:rPr>
          <w:rFonts w:ascii="Arial" w:cs="Arial" w:eastAsia="Arial" w:hAnsi="Arial"/>
          <w:sz w:val="14"/>
          <w:szCs w:val="14"/>
          <w:color w:val="auto"/>
        </w:rPr>
        <w:t>The availability of funds under the following utilizations is subject to a maximum, on a forward margin basis of 75% of the Bank's valuation of assigned / hypothecated accounts receivable after deducting accounts receivable 61 days or more past due, accounts in dispute, inter company accounts, and the value of any prior ranking claim plus 50% of the Bank's valuation of assigned / hypothecated inventory which is</w:t>
      </w:r>
    </w:p>
    <w:p>
      <w:pPr>
        <w:spacing w:after="0" w:line="2" w:lineRule="exact"/>
        <w:rPr>
          <w:sz w:val="20"/>
          <w:szCs w:val="20"/>
          <w:color w:val="auto"/>
        </w:rPr>
      </w:pPr>
    </w:p>
    <w:p>
      <w:pPr>
        <w:ind w:left="1460"/>
        <w:spacing w:after="0"/>
        <w:rPr>
          <w:sz w:val="20"/>
          <w:szCs w:val="20"/>
          <w:color w:val="auto"/>
        </w:rPr>
      </w:pPr>
      <w:r>
        <w:rPr>
          <w:rFonts w:ascii="Arial" w:cs="Arial" w:eastAsia="Arial" w:hAnsi="Arial"/>
          <w:sz w:val="16"/>
          <w:szCs w:val="16"/>
          <w:u w:val="single" w:color="auto"/>
          <w:color w:val="auto"/>
        </w:rPr>
        <w:t>Margin:</w:t>
      </w:r>
      <w:r>
        <w:rPr>
          <w:rFonts w:ascii="Arial" w:cs="Arial" w:eastAsia="Arial" w:hAnsi="Arial"/>
          <w:sz w:val="16"/>
          <w:szCs w:val="16"/>
          <w:color w:val="auto"/>
        </w:rPr>
        <w:t xml:space="preserve"> free and clear, excluding work in process, consignment inventory or inventory subject to any prior charge or claim</w:t>
      </w:r>
    </w:p>
    <w:p>
      <w:pPr>
        <w:spacing w:after="0" w:line="200" w:lineRule="exact"/>
        <w:rPr>
          <w:sz w:val="20"/>
          <w:szCs w:val="20"/>
          <w:color w:val="auto"/>
        </w:rPr>
      </w:pPr>
    </w:p>
    <w:p>
      <w:pPr>
        <w:spacing w:after="0" w:line="270" w:lineRule="exact"/>
        <w:rPr>
          <w:sz w:val="20"/>
          <w:szCs w:val="20"/>
          <w:color w:val="auto"/>
        </w:rPr>
      </w:pPr>
    </w:p>
    <w:p>
      <w:pPr>
        <w:ind w:left="1660" w:hanging="361"/>
        <w:spacing w:after="0"/>
        <w:tabs>
          <w:tab w:leader="none" w:pos="1660" w:val="left"/>
        </w:tabs>
        <w:numPr>
          <w:ilvl w:val="0"/>
          <w:numId w:val="20"/>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CDN DOLLAR OVERDRAFT FACLITY</w:t>
      </w:r>
    </w:p>
    <w:p>
      <w:pPr>
        <w:spacing w:after="0" w:line="239"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6"/>
          <w:szCs w:val="16"/>
          <w:u w:val="single" w:color="auto"/>
          <w:color w:val="auto"/>
        </w:rPr>
        <w:t>Account #:</w:t>
      </w:r>
      <w:r>
        <w:rPr>
          <w:sz w:val="20"/>
          <w:szCs w:val="20"/>
          <w:color w:val="auto"/>
        </w:rPr>
        <w:tab/>
      </w:r>
      <w:r>
        <w:rPr>
          <w:rFonts w:ascii="Arial" w:cs="Arial" w:eastAsia="Arial" w:hAnsi="Arial"/>
          <w:sz w:val="14"/>
          <w:szCs w:val="14"/>
          <w:color w:val="auto"/>
        </w:rPr>
        <w:t>0512-1040538</w:t>
      </w:r>
    </w:p>
    <w:p>
      <w:pPr>
        <w:spacing w:after="0" w:line="140"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6"/>
          <w:szCs w:val="16"/>
          <w:u w:val="single" w:color="auto"/>
          <w:color w:val="auto"/>
        </w:rPr>
        <w:t>Purpose:</w:t>
      </w:r>
      <w:r>
        <w:rPr>
          <w:sz w:val="20"/>
          <w:szCs w:val="20"/>
          <w:color w:val="auto"/>
        </w:rPr>
        <w:tab/>
      </w:r>
      <w:r>
        <w:rPr>
          <w:rFonts w:ascii="Arial" w:cs="Arial" w:eastAsia="Arial" w:hAnsi="Arial"/>
          <w:sz w:val="16"/>
          <w:szCs w:val="16"/>
          <w:color w:val="auto"/>
        </w:rPr>
        <w:t>For operating purposes</w:t>
      </w:r>
    </w:p>
    <w:p>
      <w:pPr>
        <w:spacing w:after="0" w:line="140"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6"/>
          <w:szCs w:val="16"/>
          <w:u w:val="single" w:color="auto"/>
          <w:color w:val="auto"/>
        </w:rPr>
        <w:t>Amount:</w:t>
      </w:r>
      <w:r>
        <w:rPr>
          <w:sz w:val="20"/>
          <w:szCs w:val="20"/>
          <w:color w:val="auto"/>
        </w:rPr>
        <w:tab/>
      </w:r>
      <w:r>
        <w:rPr>
          <w:rFonts w:ascii="Arial" w:cs="Arial" w:eastAsia="Arial" w:hAnsi="Arial"/>
          <w:sz w:val="16"/>
          <w:szCs w:val="16"/>
          <w:color w:val="auto"/>
        </w:rPr>
        <w:t>Maximum $5,500,000</w:t>
      </w:r>
    </w:p>
    <w:p>
      <w:pPr>
        <w:spacing w:after="0" w:line="140"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6"/>
          <w:szCs w:val="16"/>
          <w:u w:val="single" w:color="auto"/>
          <w:color w:val="auto"/>
        </w:rPr>
        <w:t>Repayment:</w:t>
      </w:r>
      <w:r>
        <w:rPr>
          <w:sz w:val="20"/>
          <w:szCs w:val="20"/>
          <w:color w:val="auto"/>
        </w:rPr>
        <w:tab/>
      </w:r>
      <w:r>
        <w:rPr>
          <w:rFonts w:ascii="Arial" w:cs="Arial" w:eastAsia="Arial" w:hAnsi="Arial"/>
          <w:sz w:val="16"/>
          <w:szCs w:val="16"/>
          <w:color w:val="auto"/>
        </w:rPr>
        <w:t>From Business receipts.</w:t>
      </w:r>
    </w:p>
    <w:p>
      <w:pPr>
        <w:spacing w:after="0" w:line="12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6"/>
          <w:szCs w:val="16"/>
          <w:u w:val="single" w:color="auto"/>
          <w:color w:val="auto"/>
        </w:rPr>
        <w:t>Interest:</w:t>
      </w:r>
      <w:r>
        <w:rPr>
          <w:sz w:val="20"/>
          <w:szCs w:val="20"/>
          <w:color w:val="auto"/>
        </w:rPr>
        <w:tab/>
      </w:r>
      <w:r>
        <w:rPr>
          <w:rFonts w:ascii="Arial" w:cs="Arial" w:eastAsia="Arial" w:hAnsi="Arial"/>
          <w:sz w:val="16"/>
          <w:szCs w:val="16"/>
          <w:color w:val="auto"/>
        </w:rPr>
        <w:t>BMO Bank of Montreal Prime plus 0.25% floating, payable</w:t>
      </w:r>
      <w:r>
        <w:rPr>
          <w:rFonts w:ascii="Arial" w:cs="Arial" w:eastAsia="Arial" w:hAnsi="Arial"/>
          <w:sz w:val="21"/>
          <w:szCs w:val="21"/>
          <w:color w:val="auto"/>
          <w:vertAlign w:val="superscript"/>
        </w:rPr>
        <w:t>-</w:t>
      </w:r>
      <w:r>
        <w:rPr>
          <w:rFonts w:ascii="Arial" w:cs="Arial" w:eastAsia="Arial" w:hAnsi="Arial"/>
          <w:sz w:val="16"/>
          <w:szCs w:val="16"/>
          <w:color w:val="auto"/>
        </w:rPr>
        <w:t>monthly in arrears.</w:t>
      </w:r>
    </w:p>
    <w:p>
      <w:pPr>
        <w:spacing w:after="0" w:line="83" w:lineRule="exact"/>
        <w:rPr>
          <w:sz w:val="20"/>
          <w:szCs w:val="20"/>
          <w:color w:val="auto"/>
        </w:rPr>
      </w:pPr>
    </w:p>
    <w:p>
      <w:pPr>
        <w:ind w:left="1940" w:right="3080"/>
        <w:spacing w:after="0" w:line="261" w:lineRule="auto"/>
        <w:rPr>
          <w:sz w:val="20"/>
          <w:szCs w:val="20"/>
          <w:color w:val="auto"/>
        </w:rPr>
      </w:pPr>
      <w:r>
        <w:rPr>
          <w:rFonts w:ascii="Arial" w:cs="Arial" w:eastAsia="Arial" w:hAnsi="Arial"/>
          <w:sz w:val="16"/>
          <w:szCs w:val="16"/>
          <w:color w:val="auto"/>
        </w:rPr>
        <w:t>Prime Rate means the floating annual rate of interest established from time to time by the BMO Bank of Montreal as the reference rate it will use to determine rates of interest on Canadian dollar loans to customers in Canada. Prime rate is presently 2.70%</w:t>
      </w:r>
    </w:p>
    <w:p>
      <w:pPr>
        <w:spacing w:after="0" w:line="8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6"/>
          <w:szCs w:val="16"/>
          <w:u w:val="single" w:color="auto"/>
          <w:color w:val="auto"/>
        </w:rPr>
        <w:t>Fees:</w:t>
      </w:r>
      <w:r>
        <w:rPr>
          <w:sz w:val="20"/>
          <w:szCs w:val="20"/>
          <w:color w:val="auto"/>
        </w:rPr>
        <w:tab/>
      </w:r>
      <w:r>
        <w:rPr>
          <w:rFonts w:ascii="Arial" w:cs="Arial" w:eastAsia="Arial" w:hAnsi="Arial"/>
          <w:sz w:val="16"/>
          <w:szCs w:val="16"/>
          <w:color w:val="auto"/>
        </w:rPr>
        <w:t>$500 fixed fee per month including standard service charges based on account activity.</w:t>
      </w:r>
    </w:p>
    <w:p>
      <w:pPr>
        <w:spacing w:after="0" w:line="244" w:lineRule="exact"/>
        <w:rPr>
          <w:sz w:val="20"/>
          <w:szCs w:val="20"/>
          <w:color w:val="auto"/>
        </w:rPr>
      </w:pPr>
    </w:p>
    <w:p>
      <w:pPr>
        <w:ind w:left="1680" w:hanging="381"/>
        <w:spacing w:after="0"/>
        <w:tabs>
          <w:tab w:leader="none" w:pos="1680" w:val="left"/>
        </w:tabs>
        <w:numPr>
          <w:ilvl w:val="0"/>
          <w:numId w:val="21"/>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COMMERCIAL LETTERS OF CREDIT</w:t>
      </w:r>
    </w:p>
    <w:p>
      <w:pPr>
        <w:spacing w:after="0" w:line="23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6"/>
          <w:szCs w:val="16"/>
          <w:u w:val="single" w:color="auto"/>
          <w:color w:val="auto"/>
        </w:rPr>
        <w:t>Purpose:</w:t>
      </w:r>
      <w:r>
        <w:rPr>
          <w:sz w:val="20"/>
          <w:szCs w:val="20"/>
          <w:color w:val="auto"/>
        </w:rPr>
        <w:tab/>
      </w:r>
      <w:r>
        <w:rPr>
          <w:rFonts w:ascii="Arial" w:cs="Arial" w:eastAsia="Arial" w:hAnsi="Arial"/>
          <w:sz w:val="16"/>
          <w:szCs w:val="16"/>
          <w:color w:val="auto"/>
        </w:rPr>
        <w:t>To cover issuance of commercial letters of credit to various suppliers for purchase of inventory</w:t>
      </w:r>
    </w:p>
    <w:p>
      <w:pPr>
        <w:spacing w:after="0" w:line="140"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6"/>
          <w:szCs w:val="16"/>
          <w:u w:val="single" w:color="auto"/>
          <w:color w:val="auto"/>
        </w:rPr>
        <w:t>Amount:</w:t>
      </w:r>
      <w:r>
        <w:rPr>
          <w:sz w:val="20"/>
          <w:szCs w:val="20"/>
          <w:color w:val="auto"/>
        </w:rPr>
        <w:tab/>
      </w:r>
      <w:r>
        <w:rPr>
          <w:rFonts w:ascii="Arial" w:cs="Arial" w:eastAsia="Arial" w:hAnsi="Arial"/>
          <w:sz w:val="16"/>
          <w:szCs w:val="16"/>
          <w:color w:val="auto"/>
        </w:rPr>
        <w:t>Maximum $5,500,000</w:t>
      </w:r>
    </w:p>
    <w:p>
      <w:pPr>
        <w:spacing w:after="0" w:line="140"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Availability:</w:t>
      </w:r>
      <w:r>
        <w:rPr>
          <w:sz w:val="20"/>
          <w:szCs w:val="20"/>
          <w:color w:val="auto"/>
        </w:rPr>
        <w:tab/>
      </w:r>
      <w:r>
        <w:rPr>
          <w:rFonts w:ascii="Arial" w:cs="Arial" w:eastAsia="Arial" w:hAnsi="Arial"/>
          <w:sz w:val="16"/>
          <w:szCs w:val="16"/>
          <w:color w:val="auto"/>
        </w:rPr>
        <w:t>USD and/or CDN dollars</w:t>
      </w:r>
    </w:p>
    <w:p>
      <w:pPr>
        <w:sectPr>
          <w:pgSz w:w="11900" w:h="16838" w:orient="portrait"/>
          <w:cols w:equalWidth="0" w:num="1">
            <w:col w:w="11360"/>
          </w:cols>
          <w:pgMar w:left="300" w:top="576" w:right="239" w:bottom="1440" w:gutter="0" w:footer="0" w:header="0"/>
          <w:type w:val="continuous"/>
        </w:sectPr>
      </w:pPr>
    </w:p>
    <w:bookmarkStart w:id="76" w:name="page77"/>
    <w:bookmarkEnd w:id="76"/>
    <w:p>
      <w:pPr>
        <w:ind w:left="6080"/>
        <w:spacing w:after="0"/>
        <w:rPr>
          <w:sz w:val="20"/>
          <w:szCs w:val="20"/>
          <w:color w:val="auto"/>
        </w:rPr>
      </w:pPr>
      <w:r>
        <w:rPr>
          <w:rFonts w:ascii="Arial" w:cs="Arial" w:eastAsia="Arial" w:hAnsi="Arial"/>
          <w:sz w:val="20"/>
          <w:szCs w:val="20"/>
          <w:b w:val="1"/>
          <w:bCs w:val="1"/>
          <w:u w:val="single" w:color="auto"/>
          <w:color w:val="auto"/>
        </w:rPr>
        <w:t>COMMITMENT LETTER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Bolt Supply House Ltd.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Terms and Conditions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Arial" w:cs="Arial" w:eastAsia="Arial" w:hAnsi="Arial"/>
                <w:sz w:val="16"/>
                <w:szCs w:val="16"/>
                <w:color w:val="auto"/>
              </w:rPr>
              <w:t>Term:</w:t>
            </w:r>
          </w:p>
        </w:tc>
        <w:tc>
          <w:tcPr>
            <w:tcW w:w="8480" w:type="dxa"/>
            <w:vAlign w:val="bottom"/>
            <w:vMerge w:val="restart"/>
          </w:tcPr>
          <w:p>
            <w:pPr>
              <w:ind w:left="340"/>
              <w:spacing w:after="0"/>
              <w:rPr>
                <w:sz w:val="20"/>
                <w:szCs w:val="20"/>
                <w:color w:val="auto"/>
              </w:rPr>
            </w:pPr>
            <w:r>
              <w:rPr>
                <w:rFonts w:ascii="Arial" w:cs="Arial" w:eastAsia="Arial" w:hAnsi="Arial"/>
                <w:sz w:val="16"/>
                <w:szCs w:val="16"/>
                <w:color w:val="auto"/>
                <w:w w:val="93"/>
              </w:rPr>
              <w:t>Letters of credit are restricted to terms of one year or less and are to contain a 30 day cancellation clause in each instance</w:t>
            </w:r>
          </w:p>
        </w:tc>
        <w:tc>
          <w:tcPr>
            <w:tcW w:w="0" w:type="dxa"/>
            <w:vAlign w:val="bottom"/>
          </w:tcPr>
          <w:p>
            <w:pPr>
              <w:spacing w:after="0"/>
              <w:rPr>
                <w:sz w:val="1"/>
                <w:szCs w:val="1"/>
                <w:color w:val="auto"/>
              </w:rPr>
            </w:pPr>
          </w:p>
        </w:tc>
      </w:tr>
      <w:tr>
        <w:trPr>
          <w:trHeight w:val="48"/>
        </w:trPr>
        <w:tc>
          <w:tcPr>
            <w:tcW w:w="20" w:type="dxa"/>
            <w:vAlign w:val="bottom"/>
            <w:tcBorders>
              <w:bottom w:val="single" w:sz="8" w:color="auto"/>
            </w:tcBorders>
          </w:tcPr>
          <w:p>
            <w:pPr>
              <w:spacing w:after="0"/>
              <w:rPr>
                <w:sz w:val="4"/>
                <w:szCs w:val="4"/>
                <w:color w:val="auto"/>
              </w:rPr>
            </w:pPr>
          </w:p>
        </w:tc>
        <w:tc>
          <w:tcPr>
            <w:tcW w:w="400" w:type="dxa"/>
            <w:vAlign w:val="bottom"/>
            <w:tcBorders>
              <w:top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gridSpan w:val="3"/>
          </w:tcPr>
          <w:p>
            <w:pPr>
              <w:spacing w:after="0" w:line="183" w:lineRule="exact"/>
              <w:rPr>
                <w:sz w:val="20"/>
                <w:szCs w:val="20"/>
                <w:color w:val="auto"/>
              </w:rPr>
            </w:pPr>
            <w:r>
              <w:rPr>
                <w:rFonts w:ascii="Arial" w:cs="Arial" w:eastAsia="Arial" w:hAnsi="Arial"/>
                <w:sz w:val="16"/>
                <w:szCs w:val="16"/>
                <w:color w:val="auto"/>
              </w:rPr>
              <w:t>Pricing;</w:t>
            </w:r>
          </w:p>
        </w:tc>
        <w:tc>
          <w:tcPr>
            <w:tcW w:w="8480" w:type="dxa"/>
            <w:vAlign w:val="bottom"/>
          </w:tcPr>
          <w:p>
            <w:pPr>
              <w:ind w:left="340"/>
              <w:spacing w:after="0" w:line="183" w:lineRule="exact"/>
              <w:rPr>
                <w:sz w:val="20"/>
                <w:szCs w:val="20"/>
                <w:color w:val="auto"/>
              </w:rPr>
            </w:pPr>
            <w:r>
              <w:rPr>
                <w:rFonts w:ascii="Arial" w:cs="Arial" w:eastAsia="Arial" w:hAnsi="Arial"/>
                <w:sz w:val="16"/>
                <w:szCs w:val="16"/>
                <w:color w:val="auto"/>
                <w:w w:val="91"/>
              </w:rPr>
              <w:t>Commissions payable quarterly in advance at 0.1% per month (1.2% per annum) of part thereof subject to a mirk $50 charge.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b w:val="1"/>
          <w:bCs w:val="1"/>
          <w:u w:val="single" w:color="auto"/>
          <w:color w:val="auto"/>
        </w:rPr>
        <w:t>FACILITY #2</w:t>
        <w:tab/>
        <w:t>SETTLEMENT RISK</w:t>
      </w:r>
    </w:p>
    <w:p>
      <w:pPr>
        <w:spacing w:after="0" w:line="36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6"/>
          <w:szCs w:val="16"/>
          <w:u w:val="single" w:color="auto"/>
          <w:color w:val="auto"/>
        </w:rPr>
        <w:t>Amount:</w:t>
      </w:r>
      <w:r>
        <w:rPr>
          <w:sz w:val="20"/>
          <w:szCs w:val="20"/>
          <w:color w:val="auto"/>
        </w:rPr>
        <w:tab/>
      </w:r>
      <w:r>
        <w:rPr>
          <w:rFonts w:ascii="Arial" w:cs="Arial" w:eastAsia="Arial" w:hAnsi="Arial"/>
          <w:sz w:val="16"/>
          <w:szCs w:val="16"/>
          <w:color w:val="auto"/>
        </w:rPr>
        <w:t>$1,000,000</w:t>
      </w:r>
    </w:p>
    <w:p>
      <w:pPr>
        <w:spacing w:after="0" w:line="262"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6"/>
          <w:szCs w:val="16"/>
          <w:u w:val="single" w:color="auto"/>
          <w:color w:val="auto"/>
        </w:rPr>
        <w:t>Purpose:</w:t>
      </w:r>
      <w:r>
        <w:rPr>
          <w:sz w:val="20"/>
          <w:szCs w:val="20"/>
          <w:color w:val="auto"/>
        </w:rPr>
        <w:tab/>
      </w:r>
      <w:r>
        <w:rPr>
          <w:rFonts w:ascii="Arial" w:cs="Arial" w:eastAsia="Arial" w:hAnsi="Arial"/>
          <w:sz w:val="16"/>
          <w:szCs w:val="16"/>
          <w:color w:val="auto"/>
        </w:rPr>
        <w:t>To facilitate payroll Electronic Funds Transfer "EFT".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B. GENERAL TERMS &amp; CONDITIONS:</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u w:val="single" w:color="auto"/>
          <w:color w:val="auto"/>
        </w:rPr>
        <w:t>Reporting:</w:t>
      </w:r>
      <w:r>
        <w:rPr>
          <w:sz w:val="20"/>
          <w:szCs w:val="20"/>
          <w:color w:val="auto"/>
        </w:rPr>
        <w:tab/>
      </w:r>
      <w:r>
        <w:rPr>
          <w:rFonts w:ascii="Arial" w:cs="Arial" w:eastAsia="Arial" w:hAnsi="Arial"/>
          <w:sz w:val="16"/>
          <w:szCs w:val="16"/>
          <w:color w:val="auto"/>
        </w:rPr>
        <w:t>The following reports are to be provided to the Bank within 120 days of the Borrower's year end;</w:t>
      </w:r>
    </w:p>
    <w:p>
      <w:pPr>
        <w:spacing w:after="0" w:line="140" w:lineRule="exact"/>
        <w:rPr>
          <w:sz w:val="20"/>
          <w:szCs w:val="20"/>
          <w:color w:val="auto"/>
        </w:rPr>
      </w:pPr>
    </w:p>
    <w:p>
      <w:pPr>
        <w:ind w:left="2960" w:hanging="305"/>
        <w:spacing w:after="0"/>
        <w:tabs>
          <w:tab w:leader="none" w:pos="2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Audited year-end financial statements of The Bolt Supply House Ltd.</w:t>
      </w:r>
    </w:p>
    <w:p>
      <w:pPr>
        <w:spacing w:after="0" w:line="140" w:lineRule="exact"/>
        <w:rPr>
          <w:rFonts w:ascii="Arial" w:cs="Arial" w:eastAsia="Arial" w:hAnsi="Arial"/>
          <w:sz w:val="16"/>
          <w:szCs w:val="16"/>
          <w:color w:val="auto"/>
        </w:rPr>
      </w:pPr>
    </w:p>
    <w:p>
      <w:pPr>
        <w:ind w:left="2960" w:hanging="305"/>
        <w:spacing w:after="0"/>
        <w:tabs>
          <w:tab w:leader="none" w:pos="2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Confirmation of Fire Insurance renewal.</w:t>
      </w:r>
    </w:p>
    <w:p>
      <w:pPr>
        <w:spacing w:after="0" w:line="140" w:lineRule="exact"/>
        <w:rPr>
          <w:rFonts w:ascii="Arial" w:cs="Arial" w:eastAsia="Arial" w:hAnsi="Arial"/>
          <w:sz w:val="16"/>
          <w:szCs w:val="16"/>
          <w:color w:val="auto"/>
        </w:rPr>
      </w:pPr>
    </w:p>
    <w:p>
      <w:pPr>
        <w:ind w:left="2960" w:hanging="305"/>
        <w:spacing w:after="0"/>
        <w:tabs>
          <w:tab w:leader="none" w:pos="2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Current Accounts Receivable listing</w:t>
      </w:r>
    </w:p>
    <w:p>
      <w:pPr>
        <w:spacing w:after="0" w:line="140" w:lineRule="exact"/>
        <w:rPr>
          <w:rFonts w:ascii="Arial" w:cs="Arial" w:eastAsia="Arial" w:hAnsi="Arial"/>
          <w:sz w:val="16"/>
          <w:szCs w:val="16"/>
          <w:color w:val="auto"/>
        </w:rPr>
      </w:pPr>
    </w:p>
    <w:p>
      <w:pPr>
        <w:ind w:left="2960" w:hanging="305"/>
        <w:spacing w:after="0"/>
        <w:tabs>
          <w:tab w:leader="none" w:pos="2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Current Accounts Payable listing</w:t>
      </w:r>
    </w:p>
    <w:p>
      <w:pPr>
        <w:spacing w:after="0" w:line="140" w:lineRule="exact"/>
        <w:rPr>
          <w:rFonts w:ascii="Arial" w:cs="Arial" w:eastAsia="Arial" w:hAnsi="Arial"/>
          <w:sz w:val="16"/>
          <w:szCs w:val="16"/>
          <w:color w:val="auto"/>
        </w:rPr>
      </w:pPr>
    </w:p>
    <w:p>
      <w:pPr>
        <w:ind w:left="2960" w:hanging="305"/>
        <w:spacing w:after="0"/>
        <w:tabs>
          <w:tab w:leader="none" w:pos="2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Current Inventory listing</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 addition, the following reports are to be provided monthly to the Bank within 25 days of each month end:</w:t>
      </w:r>
    </w:p>
    <w:p>
      <w:pPr>
        <w:spacing w:after="0" w:line="100" w:lineRule="exact"/>
        <w:rPr>
          <w:sz w:val="20"/>
          <w:szCs w:val="20"/>
          <w:color w:val="auto"/>
        </w:rPr>
      </w:pPr>
    </w:p>
    <w:p>
      <w:pPr>
        <w:ind w:left="2920" w:right="20" w:hanging="265"/>
        <w:spacing w:after="0" w:line="275" w:lineRule="auto"/>
        <w:tabs>
          <w:tab w:leader="none" w:pos="2817" w:val="left"/>
        </w:tabs>
        <w:numPr>
          <w:ilvl w:val="0"/>
          <w:numId w:val="23"/>
        </w:numPr>
        <w:rPr>
          <w:rFonts w:ascii="Arial" w:cs="Arial" w:eastAsia="Arial" w:hAnsi="Arial"/>
          <w:sz w:val="16"/>
          <w:szCs w:val="16"/>
          <w:color w:val="auto"/>
        </w:rPr>
      </w:pPr>
      <w:r>
        <w:rPr>
          <w:rFonts w:ascii="Arial" w:cs="Arial" w:eastAsia="Arial" w:hAnsi="Arial"/>
          <w:sz w:val="16"/>
          <w:szCs w:val="16"/>
          <w:color w:val="auto"/>
        </w:rPr>
        <w:t>Aged listing of outstanding accounts receivable identifying accounts in dispute, inter-company accounts, and the value of any prior ranking claims as identified by the client</w:t>
      </w:r>
    </w:p>
    <w:p>
      <w:pPr>
        <w:spacing w:after="0" w:line="51" w:lineRule="exact"/>
        <w:rPr>
          <w:sz w:val="20"/>
          <w:szCs w:val="20"/>
          <w:color w:val="auto"/>
        </w:rPr>
      </w:pPr>
    </w:p>
    <w:p>
      <w:pPr>
        <w:ind w:left="2920" w:hanging="269"/>
        <w:spacing w:after="0" w:line="275" w:lineRule="auto"/>
        <w:rPr>
          <w:sz w:val="20"/>
          <w:szCs w:val="20"/>
          <w:color w:val="auto"/>
        </w:rPr>
      </w:pPr>
      <w:r>
        <w:rPr>
          <w:rFonts w:ascii="Arial" w:cs="Arial" w:eastAsia="Arial" w:hAnsi="Arial"/>
          <w:sz w:val="16"/>
          <w:szCs w:val="16"/>
          <w:color w:val="auto"/>
        </w:rPr>
        <w:t>2 A valuation of inventory excluding inventory held on a consignment basis, and identification by the client of all inventory subject to a prior charge or claim in favour of a creditor other than the Bank.</w:t>
      </w:r>
    </w:p>
    <w:p>
      <w:pPr>
        <w:spacing w:after="0" w:line="240" w:lineRule="exact"/>
        <w:rPr>
          <w:sz w:val="20"/>
          <w:szCs w:val="20"/>
          <w:color w:val="auto"/>
        </w:rPr>
      </w:pPr>
    </w:p>
    <w:p>
      <w:pPr>
        <w:ind w:left="780"/>
        <w:spacing w:after="0"/>
        <w:rPr>
          <w:sz w:val="20"/>
          <w:szCs w:val="20"/>
          <w:color w:val="auto"/>
        </w:rPr>
      </w:pPr>
      <w:r>
        <w:rPr>
          <w:rFonts w:ascii="Arial" w:cs="Arial" w:eastAsia="Arial" w:hAnsi="Arial"/>
          <w:sz w:val="16"/>
          <w:szCs w:val="16"/>
          <w:u w:val="single" w:color="auto"/>
          <w:color w:val="auto"/>
        </w:rPr>
        <w:t>Financial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13804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07" w:lineRule="exact"/>
        <w:rPr>
          <w:sz w:val="20"/>
          <w:szCs w:val="20"/>
          <w:color w:val="auto"/>
        </w:rPr>
      </w:pPr>
    </w:p>
    <w:p>
      <w:pPr>
        <w:jc w:val="both"/>
        <w:ind w:left="2200" w:right="40"/>
        <w:spacing w:after="0" w:line="278" w:lineRule="auto"/>
        <w:rPr>
          <w:sz w:val="20"/>
          <w:szCs w:val="20"/>
          <w:color w:val="auto"/>
        </w:rPr>
      </w:pPr>
      <w:r>
        <w:rPr>
          <w:rFonts w:ascii="Arial" w:cs="Arial" w:eastAsia="Arial" w:hAnsi="Arial"/>
          <w:sz w:val="16"/>
          <w:szCs w:val="16"/>
          <w:color w:val="auto"/>
        </w:rPr>
        <w:t>The following financial covenants are to be tested in conjunction with the annual review based on the company financials provided. A breach fee of $200 per day per occurrence applies if in breach until the covenant is again in compliance per Bank established terms and conditions and may be requested in writing from BMO for client to inject funds to remedy.</w:t>
      </w:r>
    </w:p>
    <w:p>
      <w:pPr>
        <w:spacing w:after="0" w:line="200" w:lineRule="exact"/>
        <w:rPr>
          <w:sz w:val="20"/>
          <w:szCs w:val="20"/>
          <w:color w:val="auto"/>
        </w:rPr>
      </w:pPr>
    </w:p>
    <w:p>
      <w:pPr>
        <w:spacing w:after="0" w:line="214" w:lineRule="exact"/>
        <w:rPr>
          <w:sz w:val="20"/>
          <w:szCs w:val="20"/>
          <w:color w:val="auto"/>
        </w:rPr>
      </w:pPr>
    </w:p>
    <w:p>
      <w:pPr>
        <w:ind w:left="660" w:right="40" w:hanging="274"/>
        <w:spacing w:after="0" w:line="26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Working capital ratio is defined as current assets divided by current liabilities (as defined by Generally Accepted Accounting Principles) to be a minimum of 1.35:1. (PRESENTLY) Measured on the basis of </w:t>
      </w:r>
      <w:r>
        <w:rPr>
          <w:rFonts w:ascii="Arial" w:cs="Arial" w:eastAsia="Arial" w:hAnsi="Arial"/>
          <w:sz w:val="16"/>
          <w:szCs w:val="16"/>
          <w:u w:val="single" w:color="auto"/>
          <w:color w:val="auto"/>
        </w:rPr>
        <w:t>Annual</w:t>
      </w:r>
      <w:r>
        <w:rPr>
          <w:rFonts w:ascii="Arial" w:cs="Arial" w:eastAsia="Arial" w:hAnsi="Arial"/>
          <w:sz w:val="16"/>
          <w:szCs w:val="16"/>
          <w:color w:val="auto"/>
        </w:rPr>
        <w:t xml:space="preserve"> financial statements. Intangible assets as determined by the Bank are to be excluded (i.e. Future Income Taxes, Due from Shareholders/Directors/Affiliated or Related Companies, etc.). </w:t>
      </w:r>
      <w:r>
        <w:rPr>
          <w:rFonts w:ascii="Arial" w:cs="Arial" w:eastAsia="Arial" w:hAnsi="Arial"/>
          <w:sz w:val="16"/>
          <w:szCs w:val="16"/>
          <w:b w:val="1"/>
          <w:bCs w:val="1"/>
          <w:color w:val="auto"/>
        </w:rPr>
        <w:t>Met fiscal 2016 - 1.98:1</w:t>
      </w:r>
    </w:p>
    <w:p>
      <w:pPr>
        <w:spacing w:after="0" w:line="169" w:lineRule="exact"/>
        <w:rPr>
          <w:rFonts w:ascii="Arial" w:cs="Arial" w:eastAsia="Arial" w:hAnsi="Arial"/>
          <w:sz w:val="16"/>
          <w:szCs w:val="16"/>
          <w:color w:val="auto"/>
        </w:rPr>
      </w:pPr>
    </w:p>
    <w:p>
      <w:pPr>
        <w:jc w:val="both"/>
        <w:ind w:left="660" w:hanging="274"/>
        <w:spacing w:after="0" w:line="278" w:lineRule="auto"/>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 xml:space="preserve">Maximum ratio of Debt/Tangible Net Worth not to exceed 2.5:1. Total debt is defined by Generally Accepted Accounting Principles, excluding all debt formally subrogated to the Bank and Future Income Taxes. Tangible Net Worth is defined to include Share Capital, Retained Earnings and formally subrogated debt to the Bank and to exclude intangibles such as Leasehold improvements, Goodwill,- Shareholder Loan Receivables, Advances to and/or investments in affiliated companies, and any other intangibles at the Bank's discretion. To be </w:t>
      </w:r>
      <w:r>
        <w:rPr>
          <w:rFonts w:ascii="Arial" w:cs="Arial" w:eastAsia="Arial" w:hAnsi="Arial"/>
          <w:sz w:val="15"/>
          <w:szCs w:val="15"/>
          <w:u w:val="single" w:color="auto"/>
          <w:color w:val="auto"/>
        </w:rPr>
        <w:t>tested annually</w:t>
      </w:r>
      <w:r>
        <w:rPr>
          <w:rFonts w:ascii="Arial" w:cs="Arial" w:eastAsia="Arial" w:hAnsi="Arial"/>
          <w:sz w:val="15"/>
          <w:szCs w:val="15"/>
          <w:color w:val="auto"/>
        </w:rPr>
        <w:t xml:space="preserve"> based on audited year-end statements. </w:t>
      </w:r>
      <w:r>
        <w:rPr>
          <w:rFonts w:ascii="Arial" w:cs="Arial" w:eastAsia="Arial" w:hAnsi="Arial"/>
          <w:sz w:val="15"/>
          <w:szCs w:val="15"/>
          <w:b w:val="1"/>
          <w:bCs w:val="1"/>
          <w:color w:val="auto"/>
        </w:rPr>
        <w:t>Met fiscal 2016: Ratio was 0.81:1</w:t>
      </w:r>
    </w:p>
    <w:p>
      <w:pPr>
        <w:sectPr>
          <w:pgSz w:w="11900" w:h="16838" w:orient="portrait"/>
          <w:cols w:equalWidth="0" w:num="1">
            <w:col w:w="11420"/>
          </w:cols>
          <w:pgMar w:left="240" w:top="576" w:right="239" w:bottom="1440" w:gutter="0" w:footer="0" w:header="0"/>
        </w:sectPr>
      </w:pPr>
    </w:p>
    <w:bookmarkStart w:id="77" w:name="page78"/>
    <w:bookmarkEnd w:id="77"/>
    <w:p>
      <w:pPr>
        <w:ind w:left="6080"/>
        <w:spacing w:after="0"/>
        <w:rPr>
          <w:sz w:val="20"/>
          <w:szCs w:val="20"/>
          <w:color w:val="auto"/>
        </w:rPr>
      </w:pPr>
      <w:r>
        <w:rPr>
          <w:rFonts w:ascii="Arial" w:cs="Arial" w:eastAsia="Arial" w:hAnsi="Arial"/>
          <w:sz w:val="20"/>
          <w:szCs w:val="20"/>
          <w:b w:val="1"/>
          <w:bCs w:val="1"/>
          <w:u w:val="single" w:color="auto"/>
          <w:color w:val="auto"/>
        </w:rPr>
        <w:t>COMMITMENT LETTER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Bolt Supply House Ltd.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Terms and Conditions</w:t>
      </w:r>
    </w:p>
    <w:p>
      <w:pPr>
        <w:spacing w:after="0" w:line="190" w:lineRule="exact"/>
        <w:rPr>
          <w:sz w:val="20"/>
          <w:szCs w:val="20"/>
          <w:color w:val="auto"/>
        </w:rPr>
      </w:pPr>
    </w:p>
    <w:p>
      <w:pPr>
        <w:ind w:left="500" w:hanging="168"/>
        <w:spacing w:after="0"/>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Borrower will maintain a minimum Debt Service Coverage Ratio of no less than 1.25:1</w:t>
      </w:r>
    </w:p>
    <w:p>
      <w:pPr>
        <w:spacing w:after="0" w:line="1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b w:val="1"/>
          <w:bCs w:val="1"/>
          <w:color w:val="auto"/>
        </w:rPr>
        <w:t>Met Fiscal 2016 - 1.31:1</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1540" w:hanging="262"/>
        <w:spacing w:after="0"/>
        <w:tabs>
          <w:tab w:leader="none" w:pos="1540" w:val="left"/>
        </w:tabs>
        <w:numPr>
          <w:ilvl w:val="2"/>
          <w:numId w:val="2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Debt Service Coverage:</w:t>
      </w:r>
      <w:r>
        <w:rPr>
          <w:rFonts w:ascii="Arial" w:cs="Arial" w:eastAsia="Arial" w:hAnsi="Arial"/>
          <w:sz w:val="16"/>
          <w:szCs w:val="16"/>
          <w:color w:val="auto"/>
        </w:rPr>
        <w:t xml:space="preserve"> shall be determined by dividing Cash Flow Available for Debt Service, by Scheduled Debt Service Requirements</w:t>
      </w:r>
    </w:p>
    <w:p>
      <w:pPr>
        <w:spacing w:after="0" w:line="221" w:lineRule="exact"/>
        <w:rPr>
          <w:rFonts w:ascii="Arial" w:cs="Arial" w:eastAsia="Arial" w:hAnsi="Arial"/>
          <w:sz w:val="16"/>
          <w:szCs w:val="16"/>
          <w:u w:val="single" w:color="auto"/>
          <w:color w:val="auto"/>
        </w:rPr>
      </w:pPr>
    </w:p>
    <w:p>
      <w:pPr>
        <w:jc w:val="both"/>
        <w:ind w:left="1540" w:hanging="262"/>
        <w:spacing w:after="0" w:line="261" w:lineRule="auto"/>
        <w:tabs>
          <w:tab w:leader="none" w:pos="1540" w:val="left"/>
        </w:tabs>
        <w:numPr>
          <w:ilvl w:val="2"/>
          <w:numId w:val="2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Cash Flow Available for Debt Service:</w:t>
      </w:r>
      <w:r>
        <w:rPr>
          <w:rFonts w:ascii="Arial" w:cs="Arial" w:eastAsia="Arial" w:hAnsi="Arial"/>
          <w:sz w:val="16"/>
          <w:szCs w:val="16"/>
          <w:color w:val="auto"/>
        </w:rPr>
        <w:t xml:space="preserve"> means the sum of the Borrower's net after tax income, plus depreciation/amortization expense, plus non-cash items, plus interest expenses, plus any after tax management bonus which is returned to the company in the form of subrogated shareholders' loans all of which shall be determined in accordance with GAAP.</w:t>
      </w:r>
    </w:p>
    <w:p>
      <w:pPr>
        <w:spacing w:after="0" w:line="183" w:lineRule="exact"/>
        <w:rPr>
          <w:rFonts w:ascii="Arial" w:cs="Arial" w:eastAsia="Arial" w:hAnsi="Arial"/>
          <w:sz w:val="16"/>
          <w:szCs w:val="16"/>
          <w:u w:val="single" w:color="auto"/>
          <w:color w:val="auto"/>
        </w:rPr>
      </w:pPr>
    </w:p>
    <w:p>
      <w:pPr>
        <w:ind w:left="1540" w:right="780" w:hanging="262"/>
        <w:spacing w:after="0" w:line="275" w:lineRule="auto"/>
        <w:tabs>
          <w:tab w:leader="none" w:pos="1540" w:val="left"/>
        </w:tabs>
        <w:numPr>
          <w:ilvl w:val="2"/>
          <w:numId w:val="2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Scheduled Debt Service Requirements:</w:t>
      </w:r>
      <w:r>
        <w:rPr>
          <w:rFonts w:ascii="Arial" w:cs="Arial" w:eastAsia="Arial" w:hAnsi="Arial"/>
          <w:sz w:val="16"/>
          <w:szCs w:val="16"/>
          <w:color w:val="auto"/>
        </w:rPr>
        <w:t xml:space="preserve"> means the aggregate of total interest expenses, capital lease payments and scheduled amortization or repayments of principal.</w:t>
      </w:r>
    </w:p>
    <w:p>
      <w:pPr>
        <w:spacing w:after="0" w:line="172" w:lineRule="exact"/>
        <w:rPr>
          <w:rFonts w:ascii="Arial" w:cs="Arial" w:eastAsia="Arial" w:hAnsi="Arial"/>
          <w:sz w:val="16"/>
          <w:szCs w:val="16"/>
          <w:u w:val="single" w:color="auto"/>
          <w:color w:val="auto"/>
        </w:rPr>
      </w:pPr>
    </w:p>
    <w:p>
      <w:pPr>
        <w:ind w:left="860" w:hanging="204"/>
        <w:spacing w:after="0"/>
        <w:tabs>
          <w:tab w:leader="none" w:pos="8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Covenant breaches are subject to a $200 breach fee.</w:t>
      </w:r>
    </w:p>
    <w:p>
      <w:pPr>
        <w:sectPr>
          <w:pgSz w:w="11900" w:h="16838" w:orient="portrait"/>
          <w:cols w:equalWidth="0" w:num="1">
            <w:col w:w="11420"/>
          </w:cols>
          <w:pgMar w:left="240" w:top="589"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Security Held:</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5"/>
          <w:szCs w:val="15"/>
          <w:u w:val="single" w:color="auto"/>
          <w:color w:val="auto"/>
        </w:rPr>
        <w:t>Annual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12350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Legal Fees &amp;</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975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2">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1)Bank of Montreal documentation for current account authorities.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2)Overdraft lending agreement to support $5,500,000 in conjunction with Facility #1, subject (a)</w:t>
      </w:r>
    </w:p>
    <w:p>
      <w:pPr>
        <w:spacing w:after="0" w:line="221" w:lineRule="exact"/>
        <w:rPr>
          <w:sz w:val="20"/>
          <w:szCs w:val="20"/>
          <w:color w:val="auto"/>
        </w:rPr>
      </w:pPr>
    </w:p>
    <w:p>
      <w:pPr>
        <w:ind w:left="320" w:right="40"/>
        <w:spacing w:after="0" w:line="230" w:lineRule="auto"/>
        <w:rPr>
          <w:sz w:val="20"/>
          <w:szCs w:val="20"/>
          <w:color w:val="auto"/>
        </w:rPr>
      </w:pPr>
      <w:r>
        <w:rPr>
          <w:rFonts w:ascii="Arial" w:cs="Arial" w:eastAsia="Arial" w:hAnsi="Arial"/>
          <w:sz w:val="16"/>
          <w:szCs w:val="16"/>
          <w:color w:val="auto"/>
        </w:rPr>
        <w:t>3)General Security Agreement in 1</w:t>
      </w:r>
      <w:r>
        <w:rPr>
          <w:rFonts w:ascii="Arial" w:cs="Arial" w:eastAsia="Arial" w:hAnsi="Arial"/>
          <w:sz w:val="21"/>
          <w:szCs w:val="21"/>
          <w:color w:val="auto"/>
          <w:vertAlign w:val="superscript"/>
        </w:rPr>
        <w:t>51</w:t>
      </w:r>
      <w:r>
        <w:rPr>
          <w:rFonts w:ascii="Arial" w:cs="Arial" w:eastAsia="Arial" w:hAnsi="Arial"/>
          <w:sz w:val="16"/>
          <w:szCs w:val="16"/>
          <w:color w:val="auto"/>
        </w:rPr>
        <w:t xml:space="preserve"> position over The Bolt Supply House Ltd. with a General Assignment of Booked Debts covering Alberta, British Columbia, Saskatchewan, and Manitoba with notice for registration under Section 427.</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4)Assignment of Fire Insurance including standard mortgage clause showing Bank of Montreal as first loss payable</w:t>
      </w:r>
    </w:p>
    <w:p>
      <w:pPr>
        <w:spacing w:after="0" w:line="200" w:lineRule="exact"/>
        <w:rPr>
          <w:sz w:val="20"/>
          <w:szCs w:val="20"/>
          <w:color w:val="auto"/>
        </w:rPr>
      </w:pPr>
    </w:p>
    <w:p>
      <w:pPr>
        <w:spacing w:after="0" w:line="22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 credit facilities are subject to periodic and at least annual review. The next credit review shall be due </w:t>
      </w:r>
      <w:r>
        <w:rPr>
          <w:rFonts w:ascii="Arial" w:cs="Arial" w:eastAsia="Arial" w:hAnsi="Arial"/>
          <w:sz w:val="16"/>
          <w:szCs w:val="16"/>
          <w:u w:val="single" w:color="auto"/>
          <w:color w:val="auto"/>
        </w:rPr>
        <w:t>August 31, 2017</w:t>
      </w:r>
      <w:r>
        <w:rPr>
          <w:rFonts w:ascii="Arial" w:cs="Arial" w:eastAsia="Arial" w:hAnsi="Arial"/>
          <w:sz w:val="16"/>
          <w:szCs w:val="16"/>
          <w:color w:val="auto"/>
        </w:rPr>
        <w:t xml:space="preserve"> based on our reporting requirements. An annual review fee of $1,500 will be charged annually in concurrence with the review.</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The Borrower will be responsible, in addition to those fees outlined above, for the following:</w:t>
      </w:r>
    </w:p>
    <w:p>
      <w:pPr>
        <w:spacing w:after="0" w:line="221" w:lineRule="exact"/>
        <w:rPr>
          <w:sz w:val="20"/>
          <w:szCs w:val="20"/>
          <w:color w:val="auto"/>
        </w:rPr>
      </w:pPr>
    </w:p>
    <w:p>
      <w:pPr>
        <w:ind w:left="320" w:right="40" w:firstLine="2"/>
        <w:spacing w:after="0" w:line="293" w:lineRule="auto"/>
        <w:tabs>
          <w:tab w:leader="none" w:pos="471"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legal costs including those of the Bank's solicitor, accounting and other professional fees, registry searches and registration fees for searching, preparing, execution and registration of all loan and security documentation.</w:t>
      </w:r>
    </w:p>
    <w:p>
      <w:pPr>
        <w:spacing w:after="0" w:line="159" w:lineRule="exact"/>
        <w:rPr>
          <w:sz w:val="20"/>
          <w:szCs w:val="20"/>
          <w:color w:val="auto"/>
        </w:rPr>
      </w:pPr>
    </w:p>
    <w:p>
      <w:pPr>
        <w:ind w:left="320" w:right="20" w:firstLine="2"/>
        <w:spacing w:after="0" w:line="293" w:lineRule="auto"/>
        <w:tabs>
          <w:tab w:leader="none" w:pos="502"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reasonable out of pocket expenses incurred by the Bank in connection with the establishment, administration and enforcement of the facility and the obtaining of applicable security.</w:t>
      </w:r>
    </w:p>
    <w:p>
      <w:pPr>
        <w:spacing w:after="0" w:line="200" w:lineRule="exact"/>
        <w:rPr>
          <w:sz w:val="20"/>
          <w:szCs w:val="20"/>
          <w:color w:val="auto"/>
        </w:rPr>
      </w:pPr>
    </w:p>
    <w:p>
      <w:pPr>
        <w:sectPr>
          <w:pgSz w:w="11900" w:h="16838" w:orient="portrait"/>
          <w:cols w:equalWidth="0" w:num="2">
            <w:col w:w="1640" w:space="720"/>
            <w:col w:w="9060"/>
          </w:cols>
          <w:pgMar w:left="240" w:top="589" w:right="239" w:bottom="1440" w:gutter="0" w:footer="0" w:header="0"/>
          <w:type w:val="continuous"/>
        </w:sect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 BANKING SERVICES:</w:t>
      </w:r>
    </w:p>
    <w:p>
      <w:pPr>
        <w:spacing w:after="0" w:line="235" w:lineRule="exact"/>
        <w:rPr>
          <w:sz w:val="20"/>
          <w:szCs w:val="20"/>
          <w:color w:val="auto"/>
        </w:rPr>
      </w:pPr>
    </w:p>
    <w:p>
      <w:pPr>
        <w:ind w:left="1380" w:right="3500" w:hanging="1944"/>
        <w:spacing w:after="0" w:line="293" w:lineRule="auto"/>
        <w:tabs>
          <w:tab w:leader="none" w:pos="1360" w:val="left"/>
        </w:tabs>
        <w:rPr>
          <w:sz w:val="20"/>
          <w:szCs w:val="20"/>
          <w:color w:val="auto"/>
        </w:rPr>
      </w:pPr>
      <w:r>
        <w:rPr>
          <w:rFonts w:ascii="Arial" w:cs="Arial" w:eastAsia="Arial" w:hAnsi="Arial"/>
          <w:sz w:val="16"/>
          <w:szCs w:val="16"/>
          <w:u w:val="single" w:color="auto"/>
          <w:color w:val="auto"/>
        </w:rPr>
        <w:t>Deposit Accounts:</w:t>
      </w:r>
      <w:r>
        <w:rPr>
          <w:sz w:val="20"/>
          <w:szCs w:val="20"/>
          <w:color w:val="auto"/>
        </w:rPr>
        <w:tab/>
      </w:r>
      <w:r>
        <w:rPr>
          <w:rFonts w:ascii="Arial" w:cs="Arial" w:eastAsia="Arial" w:hAnsi="Arial"/>
          <w:sz w:val="16"/>
          <w:szCs w:val="16"/>
          <w:color w:val="auto"/>
        </w:rPr>
        <w:t>The Borrower will maintain an active banking accounts with Bank of Montreal. All deposit accounts will be subject to standard service charges.</w:t>
      </w:r>
    </w:p>
    <w:p>
      <w:pPr>
        <w:sectPr>
          <w:pgSz w:w="11900" w:h="16838" w:orient="portrait"/>
          <w:cols w:equalWidth="0" w:num="1">
            <w:col w:w="11420"/>
          </w:cols>
          <w:pgMar w:left="240" w:top="589" w:right="239" w:bottom="1440" w:gutter="0" w:footer="0" w:header="0"/>
          <w:type w:val="continuous"/>
        </w:sectPr>
      </w:pPr>
    </w:p>
    <w:bookmarkStart w:id="78" w:name="page79"/>
    <w:bookmarkEnd w:id="78"/>
    <w:p>
      <w:pPr>
        <w:ind w:left="6120"/>
        <w:spacing w:after="0"/>
        <w:rPr>
          <w:sz w:val="20"/>
          <w:szCs w:val="20"/>
          <w:color w:val="auto"/>
        </w:rPr>
      </w:pPr>
      <w:r>
        <w:rPr>
          <w:rFonts w:ascii="Arial" w:cs="Arial" w:eastAsia="Arial" w:hAnsi="Arial"/>
          <w:sz w:val="18"/>
          <w:szCs w:val="18"/>
          <w:b w:val="1"/>
          <w:bCs w:val="1"/>
          <w:u w:val="single" w:color="auto"/>
          <w:color w:val="auto"/>
        </w:rPr>
        <w:t>COMMITMENT LETTER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The Bolt Supply House Ltd.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Summary of Terms and Conditions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 xml:space="preserve">Cash </w:t>
      </w:r>
      <w:r>
        <w:rPr>
          <w:rFonts w:ascii="Arial" w:cs="Arial" w:eastAsia="Arial" w:hAnsi="Arial"/>
          <w:sz w:val="12"/>
          <w:szCs w:val="12"/>
          <w:u w:val="single" w:color="auto"/>
          <w:color w:val="auto"/>
        </w:rPr>
        <w:t>M</w:t>
      </w:r>
      <w:r>
        <w:rPr>
          <w:rFonts w:ascii="Arial" w:cs="Arial" w:eastAsia="Arial" w:hAnsi="Arial"/>
          <w:sz w:val="18"/>
          <w:szCs w:val="18"/>
          <w:u w:val="single" w:color="auto"/>
          <w:color w:val="auto"/>
        </w:rPr>
        <w:t>anagement:</w:t>
      </w:r>
    </w:p>
    <w:p>
      <w:pPr>
        <w:ind w:left="2160"/>
        <w:spacing w:after="0" w:line="259" w:lineRule="auto"/>
        <w:rPr>
          <w:sz w:val="20"/>
          <w:szCs w:val="20"/>
          <w:color w:val="auto"/>
        </w:rPr>
      </w:pPr>
      <w:r>
        <w:rPr>
          <w:rFonts w:ascii="Arial" w:cs="Arial" w:eastAsia="Arial" w:hAnsi="Arial"/>
          <w:sz w:val="18"/>
          <w:szCs w:val="18"/>
          <w:color w:val="auto"/>
        </w:rPr>
        <w:t>Various cash management banking services are available to enhance convenience, reduce operating costs, and earn interest on surplus funds. We would be pleased to outline these options for you at your convenience.</w:t>
      </w:r>
    </w:p>
    <w:p>
      <w:pPr>
        <w:sectPr>
          <w:pgSz w:w="11900" w:h="16838" w:orient="portrait"/>
          <w:cols w:equalWidth="0" w:num="1">
            <w:col w:w="11220"/>
          </w:cols>
          <w:pgMar w:left="280" w:top="58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u w:val="single" w:color="auto"/>
          <w:color w:val="auto"/>
        </w:rPr>
        <w:t>D. ACCEPTANCE</w:t>
      </w:r>
      <w:r>
        <w:rPr>
          <w:rFonts w:ascii="Arial" w:cs="Arial" w:eastAsia="Arial" w:hAnsi="Arial"/>
          <w:sz w:val="18"/>
          <w:szCs w:val="18"/>
          <w:i w:val="1"/>
          <w:iCs w:val="1"/>
          <w:u w:val="single" w:color="auto"/>
          <w:color w:val="auto"/>
        </w:rPr>
        <w:t>:</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xml:space="preserve">Accepted this </w:t>
      </w:r>
      <w:r>
        <w:rPr>
          <w:rFonts w:ascii="Arial" w:cs="Arial" w:eastAsia="Arial" w:hAnsi="Arial"/>
          <w:sz w:val="25"/>
          <w:szCs w:val="25"/>
          <w:u w:val="single" w:color="auto"/>
          <w:color w:val="auto"/>
        </w:rPr>
        <w:t>30</w:t>
      </w:r>
      <w:r>
        <w:rPr>
          <w:rFonts w:ascii="Arial" w:cs="Arial" w:eastAsia="Arial" w:hAnsi="Arial"/>
          <w:sz w:val="17"/>
          <w:szCs w:val="17"/>
          <w:color w:val="auto"/>
        </w:rPr>
        <w:t xml:space="preserve"> day of  </w:t>
      </w:r>
      <w:r>
        <w:rPr>
          <w:rFonts w:ascii="Arial" w:cs="Arial" w:eastAsia="Arial" w:hAnsi="Arial"/>
          <w:sz w:val="30"/>
          <w:szCs w:val="30"/>
          <w:i w:val="1"/>
          <w:iCs w:val="1"/>
          <w:u w:val="single" w:color="auto"/>
          <w:color w:val="auto"/>
        </w:rPr>
        <w:t>March</w:t>
      </w:r>
      <w:r>
        <w:rPr>
          <w:rFonts w:ascii="Arial" w:cs="Arial" w:eastAsia="Arial" w:hAnsi="Arial"/>
          <w:sz w:val="17"/>
          <w:szCs w:val="17"/>
          <w:color w:val="auto"/>
        </w:rPr>
        <w:t xml:space="preserv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33020</wp:posOffset>
            </wp:positionV>
            <wp:extent cx="3413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BOLT SUPPLY HOUSE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 Doug Drury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Per: Vice-President,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203835</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BANK OF MONTREAL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 Matt Vandenbergh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Matt Vandenbergh, Relationship Manager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 Jen Kirnbauer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6120" w:space="720"/>
            <w:col w:w="4380"/>
          </w:cols>
          <w:pgMar w:left="280" w:top="580" w:right="399" w:bottom="1440" w:gutter="0" w:footer="0" w:header="0"/>
          <w:type w:val="continuous"/>
        </w:sectPr>
      </w:pPr>
    </w:p>
    <w:p>
      <w:pPr>
        <w:spacing w:after="0"/>
        <w:tabs>
          <w:tab w:leader="none" w:pos="6820" w:val="left"/>
        </w:tabs>
        <w:rPr>
          <w:sz w:val="20"/>
          <w:szCs w:val="20"/>
          <w:color w:val="auto"/>
        </w:rPr>
      </w:pPr>
      <w:r>
        <w:rPr>
          <w:rFonts w:ascii="Arial" w:cs="Arial" w:eastAsia="Arial" w:hAnsi="Arial"/>
          <w:sz w:val="16"/>
          <w:szCs w:val="16"/>
          <w:color w:val="auto"/>
        </w:rPr>
        <w:t>Per:</w:t>
      </w:r>
      <w:r>
        <w:rPr>
          <w:sz w:val="20"/>
          <w:szCs w:val="20"/>
          <w:color w:val="auto"/>
        </w:rPr>
        <w:tab/>
      </w:r>
      <w:r>
        <w:rPr>
          <w:rFonts w:ascii="Arial" w:cs="Arial" w:eastAsia="Arial" w:hAnsi="Arial"/>
          <w:sz w:val="16"/>
          <w:szCs w:val="16"/>
          <w:color w:val="auto"/>
        </w:rPr>
        <w:t>Jen Kirnbauer, Commercial Account Advisor</w:t>
      </w:r>
    </w:p>
    <w:p>
      <w:pPr>
        <w:sectPr>
          <w:pgSz w:w="11900" w:h="16838" w:orient="portrait"/>
          <w:cols w:equalWidth="0" w:num="1">
            <w:col w:w="11220"/>
          </w:cols>
          <w:pgMar w:left="280" w:top="580" w:right="399" w:bottom="1440" w:gutter="0" w:footer="0" w:header="0"/>
          <w:type w:val="continuous"/>
        </w:sectPr>
      </w:pPr>
    </w:p>
    <w:bookmarkStart w:id="79" w:name="page80"/>
    <w:bookmarkEnd w:id="79"/>
    <w:p>
      <w:pPr>
        <w:jc w:val="right"/>
        <w:ind w:right="3180"/>
        <w:spacing w:after="0"/>
        <w:rPr>
          <w:sz w:val="20"/>
          <w:szCs w:val="20"/>
          <w:color w:val="auto"/>
        </w:rPr>
      </w:pPr>
      <w:r>
        <w:rPr>
          <w:rFonts w:ascii="Arial" w:cs="Arial" w:eastAsia="Arial" w:hAnsi="Arial"/>
          <w:sz w:val="20"/>
          <w:szCs w:val="20"/>
          <w:u w:val="single" w:color="auto"/>
          <w:color w:val="auto"/>
        </w:rPr>
        <w:t>COMMITMENT LETTER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Bolt Supply House Ltd.</w:t>
      </w:r>
    </w:p>
    <w:p>
      <w:pPr>
        <w:spacing w:after="0"/>
        <w:rPr>
          <w:sz w:val="20"/>
          <w:szCs w:val="20"/>
          <w:color w:val="auto"/>
        </w:rPr>
      </w:pPr>
      <w:r>
        <w:rPr>
          <w:rFonts w:ascii="Arial" w:cs="Arial" w:eastAsia="Arial" w:hAnsi="Arial"/>
          <w:sz w:val="20"/>
          <w:szCs w:val="20"/>
          <w:b w:val="1"/>
          <w:bCs w:val="1"/>
          <w:color w:val="auto"/>
        </w:rPr>
        <w:t>Summary of Terms and Conditions</w:t>
      </w:r>
    </w:p>
    <w:p>
      <w:pPr>
        <w:sectPr>
          <w:pgSz w:w="11900" w:h="16838" w:orient="portrait"/>
          <w:cols w:equalWidth="0" w:num="1">
            <w:col w:w="11420"/>
          </w:cols>
          <w:pgMar w:left="240" w:top="58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0"/>
        <w:spacing w:after="0"/>
        <w:rPr>
          <w:sz w:val="20"/>
          <w:szCs w:val="20"/>
          <w:color w:val="auto"/>
        </w:rPr>
      </w:pPr>
      <w:r>
        <w:rPr>
          <w:rFonts w:ascii="Arial" w:cs="Arial" w:eastAsia="Arial" w:hAnsi="Arial"/>
          <w:sz w:val="14"/>
          <w:szCs w:val="14"/>
          <w:color w:val="auto"/>
        </w:rPr>
        <w:t>Advance:</w:t>
      </w:r>
    </w:p>
    <w:p>
      <w:pPr>
        <w:spacing w:after="0" w:line="393" w:lineRule="exact"/>
        <w:rPr>
          <w:sz w:val="20"/>
          <w:szCs w:val="20"/>
          <w:color w:val="auto"/>
        </w:rPr>
      </w:pPr>
    </w:p>
    <w:p>
      <w:pPr>
        <w:ind w:left="80"/>
        <w:spacing w:after="0"/>
        <w:rPr>
          <w:sz w:val="20"/>
          <w:szCs w:val="20"/>
          <w:color w:val="auto"/>
        </w:rPr>
      </w:pPr>
      <w:r>
        <w:rPr>
          <w:rFonts w:ascii="Arial" w:cs="Arial" w:eastAsia="Arial" w:hAnsi="Arial"/>
          <w:sz w:val="14"/>
          <w:szCs w:val="14"/>
          <w:color w:val="auto"/>
        </w:rPr>
        <w:t>Advances:</w:t>
      </w:r>
    </w:p>
    <w:p>
      <w:pPr>
        <w:spacing w:after="0" w:line="393" w:lineRule="exact"/>
        <w:rPr>
          <w:sz w:val="20"/>
          <w:szCs w:val="20"/>
          <w:color w:val="auto"/>
        </w:rPr>
      </w:pPr>
    </w:p>
    <w:p>
      <w:pPr>
        <w:ind w:left="80"/>
        <w:spacing w:after="0"/>
        <w:rPr>
          <w:sz w:val="20"/>
          <w:szCs w:val="20"/>
          <w:color w:val="auto"/>
        </w:rPr>
      </w:pPr>
      <w:r>
        <w:rPr>
          <w:rFonts w:ascii="Arial" w:cs="Arial" w:eastAsia="Arial" w:hAnsi="Arial"/>
          <w:sz w:val="12"/>
          <w:szCs w:val="12"/>
          <w:color w:val="auto"/>
        </w:rPr>
        <w:t>Bankers' Acceptances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 xml:space="preserve">SCHEDULE A </w:t>
      </w:r>
      <w:r>
        <w:rPr>
          <w:rFonts w:ascii="Arial" w:cs="Arial" w:eastAsia="Arial" w:hAnsi="Arial"/>
          <w:sz w:val="14"/>
          <w:szCs w:val="14"/>
          <w:u w:val="single" w:color="auto"/>
          <w:color w:val="auto"/>
        </w:rPr>
        <w:t>DEFINITIONS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Each use of the Facilities is an "Advance" and all such usages outstanding at any time are "Advances".</w:t>
      </w:r>
    </w:p>
    <w:p>
      <w:pPr>
        <w:spacing w:after="0" w:line="204" w:lineRule="exact"/>
        <w:rPr>
          <w:sz w:val="20"/>
          <w:szCs w:val="20"/>
          <w:color w:val="auto"/>
        </w:rPr>
      </w:pPr>
    </w:p>
    <w:p>
      <w:pPr>
        <w:jc w:val="both"/>
        <w:ind w:right="80"/>
        <w:spacing w:after="0" w:line="253" w:lineRule="auto"/>
        <w:rPr>
          <w:sz w:val="20"/>
          <w:szCs w:val="20"/>
          <w:color w:val="auto"/>
        </w:rPr>
      </w:pPr>
      <w:r>
        <w:rPr>
          <w:rFonts w:ascii="Arial" w:cs="Arial" w:eastAsia="Arial" w:hAnsi="Arial"/>
          <w:sz w:val="14"/>
          <w:szCs w:val="14"/>
          <w:color w:val="auto"/>
        </w:rPr>
        <w:t>Borrowing by the Borrower and any reference relating to the amount of Advances shall mean the sum of the principal amount of all outstanding Advances</w:t>
      </w:r>
    </w:p>
    <w:p>
      <w:pPr>
        <w:spacing w:after="0" w:line="174" w:lineRule="exact"/>
        <w:rPr>
          <w:sz w:val="20"/>
          <w:szCs w:val="20"/>
          <w:color w:val="auto"/>
        </w:rPr>
      </w:pPr>
    </w:p>
    <w:p>
      <w:pPr>
        <w:jc w:val="both"/>
        <w:ind w:right="80"/>
        <w:spacing w:after="0" w:line="234" w:lineRule="auto"/>
        <w:rPr>
          <w:sz w:val="20"/>
          <w:szCs w:val="20"/>
          <w:color w:val="auto"/>
        </w:rPr>
      </w:pPr>
      <w:r>
        <w:rPr>
          <w:rFonts w:ascii="Arial" w:cs="Arial" w:eastAsia="Arial" w:hAnsi="Arial"/>
          <w:sz w:val="14"/>
          <w:szCs w:val="14"/>
          <w:color w:val="auto"/>
        </w:rPr>
        <w:t>An instrument denominated in Canadian dollars, drawn by the Borrower and accepted by BMO in accordance with this Commitment Letter, and includes a "depository note" within the meaning of the Depository Bills and Notes Act (Canada) and a bill of exchange within the meaning of the Bills of Exchange Act (Canada). A stamping fee will be charged by BMO on each Advance evidenced by a Bankers' Acceptance.</w:t>
      </w:r>
    </w:p>
    <w:p>
      <w:pPr>
        <w:spacing w:after="0" w:line="200" w:lineRule="exact"/>
        <w:rPr>
          <w:sz w:val="20"/>
          <w:szCs w:val="20"/>
          <w:color w:val="auto"/>
        </w:rPr>
      </w:pPr>
    </w:p>
    <w:p>
      <w:pPr>
        <w:sectPr>
          <w:pgSz w:w="11900" w:h="16838" w:orient="portrait"/>
          <w:cols w:equalWidth="0" w:num="2">
            <w:col w:w="2620" w:space="720"/>
            <w:col w:w="8080"/>
          </w:cols>
          <w:pgMar w:left="240" w:top="582" w:right="239" w:bottom="1440" w:gutter="0" w:footer="0" w:header="0"/>
          <w:type w:val="continuous"/>
        </w:sectPr>
      </w:pPr>
    </w:p>
    <w:p>
      <w:pPr>
        <w:spacing w:after="0" w:line="253" w:lineRule="exact"/>
        <w:rPr>
          <w:sz w:val="20"/>
          <w:szCs w:val="20"/>
          <w:color w:val="auto"/>
        </w:rPr>
      </w:pPr>
    </w:p>
    <w:p>
      <w:pPr>
        <w:ind w:left="1020" w:right="5180" w:hanging="2768"/>
        <w:spacing w:after="0" w:line="313" w:lineRule="auto"/>
        <w:tabs>
          <w:tab w:leader="none" w:pos="1000" w:val="left"/>
        </w:tabs>
        <w:rPr>
          <w:sz w:val="20"/>
          <w:szCs w:val="20"/>
          <w:color w:val="auto"/>
        </w:rPr>
      </w:pPr>
      <w:r>
        <w:rPr>
          <w:rFonts w:ascii="Arial" w:cs="Arial" w:eastAsia="Arial" w:hAnsi="Arial"/>
          <w:sz w:val="14"/>
          <w:szCs w:val="14"/>
          <w:color w:val="auto"/>
        </w:rPr>
        <w:t>Business Day:</w:t>
        <w:tab/>
        <w:t>Any day that is not a Saturday, Sunday or other day on which BMO is authorized or required by applicable law in Calgary, AB to remain closed.</w:t>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Capitalization:</w:t>
        <w:tab/>
        <w:t>Senior Funded Debt plus shareholder's equity.</w:t>
      </w:r>
    </w:p>
    <w:p>
      <w:pPr>
        <w:spacing w:after="0" w:line="285"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Card Services Interest Rate:</w:t>
      </w:r>
      <w:r>
        <w:rPr>
          <w:sz w:val="20"/>
          <w:szCs w:val="20"/>
          <w:color w:val="auto"/>
        </w:rPr>
        <w:tab/>
      </w:r>
      <w:r>
        <w:rPr>
          <w:rFonts w:ascii="Arial" w:cs="Arial" w:eastAsia="Arial" w:hAnsi="Arial"/>
          <w:sz w:val="12"/>
          <w:szCs w:val="12"/>
          <w:color w:val="auto"/>
        </w:rPr>
        <w:t>Per Corporate MasterCard Agreement</w:t>
      </w:r>
    </w:p>
    <w:p>
      <w:pPr>
        <w:spacing w:after="0" w:line="204" w:lineRule="exact"/>
        <w:rPr>
          <w:sz w:val="20"/>
          <w:szCs w:val="20"/>
          <w:color w:val="auto"/>
        </w:rPr>
      </w:pPr>
    </w:p>
    <w:p>
      <w:pPr>
        <w:spacing w:after="0"/>
        <w:tabs>
          <w:tab w:leader="none" w:pos="1080" w:val="left"/>
        </w:tabs>
        <w:rPr>
          <w:sz w:val="20"/>
          <w:szCs w:val="20"/>
          <w:color w:val="auto"/>
        </w:rPr>
      </w:pPr>
      <w:r>
        <w:rPr>
          <w:rFonts w:ascii="Arial" w:cs="Arial" w:eastAsia="Arial" w:hAnsi="Arial"/>
          <w:sz w:val="14"/>
          <w:szCs w:val="14"/>
          <w:color w:val="auto"/>
        </w:rPr>
        <w:t>Deferred Taxes:</w:t>
      </w:r>
      <w:r>
        <w:rPr>
          <w:sz w:val="20"/>
          <w:szCs w:val="20"/>
          <w:color w:val="auto"/>
        </w:rPr>
        <w:tab/>
      </w:r>
      <w:r>
        <w:rPr>
          <w:rFonts w:ascii="Arial" w:cs="Arial" w:eastAsia="Arial" w:hAnsi="Arial"/>
          <w:sz w:val="12"/>
          <w:szCs w:val="12"/>
          <w:color w:val="auto"/>
        </w:rPr>
        <w:t>An account on a company's balance sheet that is a result of temporary differences</w:t>
      </w:r>
    </w:p>
    <w:p>
      <w:pPr>
        <w:spacing w:after="0" w:line="28" w:lineRule="exact"/>
        <w:rPr>
          <w:sz w:val="20"/>
          <w:szCs w:val="20"/>
          <w:color w:val="auto"/>
        </w:rPr>
      </w:pPr>
    </w:p>
    <w:p>
      <w:pPr>
        <w:ind w:left="2780" w:right="160"/>
        <w:spacing w:after="0" w:line="273" w:lineRule="auto"/>
        <w:rPr>
          <w:sz w:val="20"/>
          <w:szCs w:val="20"/>
          <w:color w:val="auto"/>
        </w:rPr>
      </w:pPr>
      <w:r>
        <w:rPr>
          <w:rFonts w:ascii="Arial" w:cs="Arial" w:eastAsia="Arial" w:hAnsi="Arial"/>
          <w:sz w:val="14"/>
          <w:szCs w:val="14"/>
          <w:color w:val="auto"/>
        </w:rPr>
        <w:t>between the company's accounting and tax carrying values, the anticipated and enacted income tax rate, and estimated taxes payable for the current year. This liability may or may not be realized during any given year, which makes the deferred status appropriate.</w:t>
      </w:r>
    </w:p>
    <w:p>
      <w:pPr>
        <w:spacing w:after="0" w:line="106" w:lineRule="exact"/>
        <w:rPr>
          <w:sz w:val="20"/>
          <w:szCs w:val="20"/>
          <w:color w:val="auto"/>
        </w:rPr>
      </w:pPr>
    </w:p>
    <w:p>
      <w:pPr>
        <w:ind w:right="4220"/>
        <w:spacing w:after="0" w:line="312" w:lineRule="auto"/>
        <w:rPr>
          <w:sz w:val="20"/>
          <w:szCs w:val="20"/>
          <w:color w:val="auto"/>
        </w:rPr>
      </w:pPr>
      <w:r>
        <w:rPr>
          <w:rFonts w:ascii="Arial" w:cs="Arial" w:eastAsia="Arial" w:hAnsi="Arial"/>
          <w:sz w:val="14"/>
          <w:szCs w:val="14"/>
          <w:color w:val="auto"/>
        </w:rPr>
        <w:t>Generally Accepted Accounting Except as otherwise expressly provided herein, all terms of accounting or financial nature Principles (GAAP): shall be construed in accordance with GAAP, as in effect from time to time. All</w:t>
      </w:r>
    </w:p>
    <w:p>
      <w:pPr>
        <w:jc w:val="both"/>
        <w:ind w:left="2780"/>
        <w:spacing w:after="0" w:line="246" w:lineRule="auto"/>
        <w:rPr>
          <w:sz w:val="20"/>
          <w:szCs w:val="20"/>
          <w:color w:val="auto"/>
        </w:rPr>
      </w:pPr>
      <w:r>
        <w:rPr>
          <w:rFonts w:ascii="Arial" w:cs="Arial" w:eastAsia="Arial" w:hAnsi="Arial"/>
          <w:sz w:val="14"/>
          <w:szCs w:val="14"/>
          <w:color w:val="auto"/>
        </w:rPr>
        <w:t>calculations of the components of financial information for the purposes of determining compliance with the financial ratios and financial covenants contained herein shall be made on a basis consistent with GAAP in existence as at the date of the Commitment Letter and used in preparation of the consolidated financial statements of the Borrower [and Guarantor(s)]. Upon adoption by the Borrower [and Guarantor(s)] of International Financial Reporting Standards (IFRS), or in event of a change in GAAP, the Borrower and [and Guarantor(s)] BMO shall negotiate in good faith to revise (if appropriate) such ratios and covenants to give effect to the intention of the parties under this Commitment Letter, and any new ratio or covenant shall be subject to the approval of BMO. In the event that such a negotiation is unsuccessful, all calculations thereafter made for the purpose of determining compliance with the financial ratios and financial covenants contained herein shall be made on a basis consistent with GAAP in existence as at the date of the Commitment Letter.</w:t>
      </w:r>
    </w:p>
    <w:p>
      <w:pPr>
        <w:spacing w:after="0" w:line="200" w:lineRule="exact"/>
        <w:rPr>
          <w:sz w:val="20"/>
          <w:szCs w:val="20"/>
          <w:color w:val="auto"/>
        </w:rPr>
      </w:pPr>
    </w:p>
    <w:p>
      <w:pPr>
        <w:spacing w:after="0" w:line="371" w:lineRule="exact"/>
        <w:rPr>
          <w:sz w:val="20"/>
          <w:szCs w:val="20"/>
          <w:color w:val="auto"/>
        </w:rPr>
      </w:pPr>
    </w:p>
    <w:p>
      <w:pPr>
        <w:ind w:left="80"/>
        <w:spacing w:after="0"/>
        <w:rPr>
          <w:sz w:val="20"/>
          <w:szCs w:val="20"/>
          <w:color w:val="auto"/>
        </w:rPr>
      </w:pPr>
      <w:r>
        <w:rPr>
          <w:rFonts w:ascii="Arial" w:cs="Arial" w:eastAsia="Arial" w:hAnsi="Arial"/>
          <w:sz w:val="14"/>
          <w:szCs w:val="14"/>
          <w:color w:val="auto"/>
        </w:rPr>
        <w:t>Government of Canada Bond Rate</w:t>
      </w:r>
    </w:p>
    <w:p>
      <w:pPr>
        <w:spacing w:after="0" w:line="200" w:lineRule="exact"/>
        <w:rPr>
          <w:sz w:val="20"/>
          <w:szCs w:val="20"/>
          <w:color w:val="auto"/>
        </w:rPr>
      </w:pPr>
    </w:p>
    <w:p>
      <w:pPr>
        <w:spacing w:after="0" w:line="395" w:lineRule="exact"/>
        <w:rPr>
          <w:sz w:val="20"/>
          <w:szCs w:val="20"/>
          <w:color w:val="auto"/>
        </w:rPr>
      </w:pPr>
    </w:p>
    <w:p>
      <w:pPr>
        <w:ind w:left="80"/>
        <w:spacing w:after="0"/>
        <w:rPr>
          <w:sz w:val="20"/>
          <w:szCs w:val="20"/>
          <w:color w:val="auto"/>
        </w:rPr>
      </w:pPr>
      <w:r>
        <w:rPr>
          <w:rFonts w:ascii="Arial" w:cs="Arial" w:eastAsia="Arial" w:hAnsi="Arial"/>
          <w:sz w:val="14"/>
          <w:szCs w:val="14"/>
          <w:color w:val="auto"/>
        </w:rPr>
        <w:t>LIBOR Rate</w:t>
      </w:r>
    </w:p>
    <w:p>
      <w:pPr>
        <w:spacing w:after="0" w:line="28" w:lineRule="exact"/>
        <w:rPr>
          <w:sz w:val="20"/>
          <w:szCs w:val="20"/>
          <w:color w:val="auto"/>
        </w:rPr>
      </w:pPr>
    </w:p>
    <w:p>
      <w:pPr>
        <w:jc w:val="both"/>
        <w:ind w:left="3500" w:right="80"/>
        <w:spacing w:after="0" w:line="253" w:lineRule="auto"/>
        <w:rPr>
          <w:sz w:val="20"/>
          <w:szCs w:val="20"/>
          <w:color w:val="auto"/>
        </w:rPr>
      </w:pPr>
      <w:r>
        <w:rPr>
          <w:rFonts w:ascii="Arial" w:cs="Arial" w:eastAsia="Arial" w:hAnsi="Arial"/>
          <w:sz w:val="14"/>
          <w:szCs w:val="14"/>
          <w:color w:val="auto"/>
        </w:rPr>
        <w:t>Benchmark bond yields published by the Bank of Canada based on mid-market closing yields of selected Government of Canada bond issues that mature approximately in the indicated terms.</w:t>
      </w:r>
    </w:p>
    <w:p>
      <w:pPr>
        <w:spacing w:after="0" w:line="160" w:lineRule="exact"/>
        <w:rPr>
          <w:sz w:val="20"/>
          <w:szCs w:val="20"/>
          <w:color w:val="auto"/>
        </w:rPr>
      </w:pPr>
    </w:p>
    <w:p>
      <w:pPr>
        <w:jc w:val="both"/>
        <w:ind w:left="3500" w:right="80"/>
        <w:spacing w:after="0" w:line="231" w:lineRule="auto"/>
        <w:rPr>
          <w:sz w:val="20"/>
          <w:szCs w:val="20"/>
          <w:color w:val="auto"/>
        </w:rPr>
      </w:pPr>
      <w:r>
        <w:rPr>
          <w:rFonts w:ascii="Arial" w:cs="Arial" w:eastAsia="Arial" w:hAnsi="Arial"/>
          <w:sz w:val="14"/>
          <w:szCs w:val="14"/>
          <w:color w:val="auto"/>
        </w:rPr>
        <w:t>With respect to any 30, 60, 90, 180 or 360-day period, the annual rate of interest at which BMO, in accordance with its normal practice, would be prepared to offer deposits of U.S. dollars to leading banks in the London Interbank Market for delivery on the first day of the applicable period, with a maturity comparable to the applicable period, at approximately 11:00 a.m., (London, England time) two Business Days prior to the commencement of such period, where for the purpose of this definition "Business Days" do not include days which are not regular business days in London or in New York.</w:t>
      </w:r>
    </w:p>
    <w:p>
      <w:pPr>
        <w:sectPr>
          <w:pgSz w:w="11900" w:h="16838" w:orient="portrait"/>
          <w:cols w:equalWidth="0" w:num="1">
            <w:col w:w="11420"/>
          </w:cols>
          <w:pgMar w:left="240" w:top="582" w:right="239" w:bottom="1440" w:gutter="0" w:footer="0" w:header="0"/>
          <w:type w:val="continuous"/>
        </w:sectPr>
      </w:pPr>
    </w:p>
    <w:bookmarkStart w:id="80" w:name="page81"/>
    <w:bookmarkEnd w:id="80"/>
    <w:p>
      <w:pPr>
        <w:ind w:left="6080"/>
        <w:spacing w:after="0"/>
        <w:rPr>
          <w:sz w:val="20"/>
          <w:szCs w:val="20"/>
          <w:color w:val="auto"/>
        </w:rPr>
      </w:pPr>
      <w:r>
        <w:rPr>
          <w:rFonts w:ascii="Arial" w:cs="Arial" w:eastAsia="Arial" w:hAnsi="Arial"/>
          <w:sz w:val="20"/>
          <w:szCs w:val="20"/>
          <w:u w:val="single" w:color="auto"/>
          <w:color w:val="auto"/>
        </w:rPr>
        <w:t>COMMITMENT LETTER</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Bolt Supply House Ltd.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580" w:right="80"/>
        <w:spacing w:after="0" w:line="241" w:lineRule="auto"/>
        <w:rPr>
          <w:sz w:val="20"/>
          <w:szCs w:val="20"/>
          <w:color w:val="auto"/>
        </w:rPr>
      </w:pPr>
      <w:r>
        <w:rPr>
          <w:rFonts w:ascii="Arial" w:cs="Arial" w:eastAsia="Arial" w:hAnsi="Arial"/>
          <w:sz w:val="13"/>
          <w:szCs w:val="13"/>
          <w:color w:val="auto"/>
        </w:rPr>
        <w:t>Means the real property described in the Mortgage, all appurtenances thereto and all estates and interests therein, and includes all buildings, plant, machinery, crops, erections and improvements, fixed or otherwise, present or future, built, grown, placed or put thereon including all fences, heating equipment, plumbing equipment, antennae, radiators, mirrors, air-conditioning equipment, ventilating equipment, fire alarm and protective systems, lighting and lighting fixtures, hay racks, barn fixtures, milking machine equipment, water tanks, pumps and windmills, water bowls and pipes, feed boxes, litter carriers and tracks, mobile homes affixed to the real property, furnaces, boilers, oil burners, stokers, water heating equipment, cooking and refrigeration equipment, window blinds, floor coverings, storm windows, storm doors, window screens, door screens, shutters and awnings, all</w:t>
      </w:r>
    </w:p>
    <w:p>
      <w:pPr>
        <w:spacing w:after="0" w:line="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Mortgaged Property apparatus and equipment appurtenant thereto, and all other fixtures and accessions of any kind or nature.</w:t>
      </w:r>
    </w:p>
    <w:p>
      <w:pPr>
        <w:spacing w:after="0" w:line="200" w:lineRule="exact"/>
        <w:rPr>
          <w:sz w:val="20"/>
          <w:szCs w:val="20"/>
          <w:color w:val="auto"/>
        </w:rPr>
      </w:pPr>
    </w:p>
    <w:p>
      <w:pPr>
        <w:spacing w:after="0" w:line="262" w:lineRule="exact"/>
        <w:rPr>
          <w:sz w:val="20"/>
          <w:szCs w:val="20"/>
          <w:color w:val="auto"/>
        </w:rPr>
      </w:pPr>
    </w:p>
    <w:p>
      <w:pPr>
        <w:ind w:left="1080" w:right="5280" w:hanging="2768"/>
        <w:spacing w:after="0" w:line="313" w:lineRule="auto"/>
        <w:tabs>
          <w:tab w:leader="none" w:pos="1060" w:val="left"/>
        </w:tabs>
        <w:rPr>
          <w:sz w:val="20"/>
          <w:szCs w:val="20"/>
          <w:color w:val="auto"/>
        </w:rPr>
      </w:pPr>
      <w:r>
        <w:rPr>
          <w:rFonts w:ascii="Arial" w:cs="Arial" w:eastAsia="Arial" w:hAnsi="Arial"/>
          <w:sz w:val="14"/>
          <w:szCs w:val="14"/>
          <w:color w:val="auto"/>
        </w:rPr>
        <w:t>Mortgage Rate:</w:t>
        <w:tab/>
        <w:t>Per annum interest rate determined and accrued daily and compounded semi-annually, not in advance, on the outstanding balance of the loan.</w:t>
      </w:r>
    </w:p>
    <w:p>
      <w:pPr>
        <w:spacing w:after="0" w:line="309" w:lineRule="exact"/>
        <w:rPr>
          <w:sz w:val="20"/>
          <w:szCs w:val="20"/>
          <w:color w:val="auto"/>
        </w:rPr>
      </w:pPr>
    </w:p>
    <w:p>
      <w:pPr>
        <w:ind w:left="2680" w:right="20"/>
        <w:spacing w:after="0" w:line="265" w:lineRule="auto"/>
        <w:rPr>
          <w:sz w:val="20"/>
          <w:szCs w:val="20"/>
          <w:color w:val="auto"/>
        </w:rPr>
      </w:pPr>
      <w:r>
        <w:rPr>
          <w:rFonts w:ascii="Arial" w:cs="Arial" w:eastAsia="Arial" w:hAnsi="Arial"/>
          <w:sz w:val="12"/>
          <w:szCs w:val="12"/>
          <w:color w:val="auto"/>
        </w:rPr>
        <w:t>For any fiscal year of the Borrower means the gross annual revenue actually received by the Borrower during such fiscal year from tenants pursuant to Leases, less the Borrower's operating expenses and management fees actually paid, and structural reserves, market vacancy allowance and had debt allowance taken or allowed for, in each case related to the Mortgaged Property during such fiscal year, each in an amount satisfactory to BMO based</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Net Operating Income: on reasonable industry standards but with no deduction for depreciation, amortization or interest expense.</w:t>
      </w:r>
    </w:p>
    <w:p>
      <w:pPr>
        <w:spacing w:after="0" w:line="200" w:lineRule="exact"/>
        <w:rPr>
          <w:sz w:val="20"/>
          <w:szCs w:val="20"/>
          <w:color w:val="auto"/>
        </w:rPr>
      </w:pPr>
    </w:p>
    <w:p>
      <w:pPr>
        <w:spacing w:after="0" w:line="262" w:lineRule="exact"/>
        <w:rPr>
          <w:sz w:val="20"/>
          <w:szCs w:val="20"/>
          <w:color w:val="auto"/>
        </w:rPr>
      </w:pPr>
    </w:p>
    <w:p>
      <w:pPr>
        <w:spacing w:after="0"/>
        <w:tabs>
          <w:tab w:leader="none" w:pos="1640" w:val="left"/>
        </w:tabs>
        <w:rPr>
          <w:sz w:val="20"/>
          <w:szCs w:val="20"/>
          <w:color w:val="auto"/>
        </w:rPr>
      </w:pPr>
      <w:r>
        <w:rPr>
          <w:rFonts w:ascii="Arial" w:cs="Arial" w:eastAsia="Arial" w:hAnsi="Arial"/>
          <w:sz w:val="14"/>
          <w:szCs w:val="14"/>
          <w:color w:val="auto"/>
        </w:rPr>
        <w:t>Off Balance Sheet (OBS)</w:t>
      </w:r>
      <w:r>
        <w:rPr>
          <w:sz w:val="20"/>
          <w:szCs w:val="20"/>
          <w:color w:val="auto"/>
        </w:rPr>
        <w:tab/>
      </w:r>
      <w:r>
        <w:rPr>
          <w:rFonts w:ascii="Arial" w:cs="Arial" w:eastAsia="Arial" w:hAnsi="Arial"/>
          <w:sz w:val="12"/>
          <w:szCs w:val="12"/>
          <w:color w:val="auto"/>
        </w:rPr>
        <w:t>An asset or debt or financing activity not on the company's balance sheet</w:t>
      </w:r>
    </w:p>
    <w:p>
      <w:pPr>
        <w:sectPr>
          <w:pgSz w:w="11900" w:h="16838" w:orient="portrait"/>
          <w:cols w:equalWidth="0" w:num="1">
            <w:col w:w="11340"/>
          </w:cols>
          <w:pgMar w:left="240" w:top="79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
        <w:spacing w:after="0"/>
        <w:rPr>
          <w:sz w:val="20"/>
          <w:szCs w:val="20"/>
          <w:color w:val="auto"/>
        </w:rPr>
      </w:pPr>
      <w:r>
        <w:rPr>
          <w:rFonts w:ascii="Arial" w:cs="Arial" w:eastAsia="Arial" w:hAnsi="Arial"/>
          <w:sz w:val="14"/>
          <w:szCs w:val="14"/>
          <w:color w:val="auto"/>
        </w:rPr>
        <w:t>Prime Rate:</w:t>
      </w:r>
    </w:p>
    <w:p>
      <w:pPr>
        <w:spacing w:after="0" w:line="200" w:lineRule="exact"/>
        <w:rPr>
          <w:sz w:val="20"/>
          <w:szCs w:val="20"/>
          <w:color w:val="auto"/>
        </w:rPr>
      </w:pPr>
    </w:p>
    <w:p>
      <w:pPr>
        <w:spacing w:after="0" w:line="395" w:lineRule="exact"/>
        <w:rPr>
          <w:sz w:val="20"/>
          <w:szCs w:val="20"/>
          <w:color w:val="auto"/>
        </w:rPr>
      </w:pPr>
    </w:p>
    <w:p>
      <w:pPr>
        <w:ind w:left="80"/>
        <w:spacing w:after="0"/>
        <w:rPr>
          <w:sz w:val="20"/>
          <w:szCs w:val="20"/>
          <w:color w:val="auto"/>
        </w:rPr>
      </w:pPr>
      <w:r>
        <w:rPr>
          <w:rFonts w:ascii="Arial" w:cs="Arial" w:eastAsia="Arial" w:hAnsi="Arial"/>
          <w:sz w:val="13"/>
          <w:szCs w:val="13"/>
          <w:color w:val="auto"/>
        </w:rPr>
        <w:t>Tangible Net Worth: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80"/>
        <w:spacing w:after="0"/>
        <w:rPr>
          <w:sz w:val="20"/>
          <w:szCs w:val="20"/>
          <w:color w:val="auto"/>
        </w:rPr>
      </w:pPr>
      <w:r>
        <w:rPr>
          <w:rFonts w:ascii="Arial" w:cs="Arial" w:eastAsia="Arial" w:hAnsi="Arial"/>
          <w:sz w:val="14"/>
          <w:szCs w:val="14"/>
          <w:color w:val="auto"/>
        </w:rPr>
        <w:t>US Base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30" w:lineRule="auto"/>
        <w:rPr>
          <w:sz w:val="20"/>
          <w:szCs w:val="20"/>
          <w:color w:val="auto"/>
        </w:rPr>
      </w:pPr>
      <w:r>
        <w:rPr>
          <w:rFonts w:ascii="Arial" w:cs="Arial" w:eastAsia="Arial" w:hAnsi="Arial"/>
          <w:sz w:val="14"/>
          <w:szCs w:val="14"/>
          <w:color w:val="auto"/>
        </w:rPr>
        <w:t>On any day, the annual rate of interest established by BMO and in effect on such day as the reference rate used to determine the rate of interest charged on Canadian dollar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loans to commercial customers in Canada, and designated by BMO as its "Prime Rate".</w:t>
      </w:r>
    </w:p>
    <w:p>
      <w:pPr>
        <w:spacing w:after="0" w:line="192" w:lineRule="exact"/>
        <w:rPr>
          <w:sz w:val="20"/>
          <w:szCs w:val="20"/>
          <w:color w:val="auto"/>
        </w:rPr>
      </w:pPr>
    </w:p>
    <w:p>
      <w:pPr>
        <w:jc w:val="both"/>
        <w:ind w:right="240"/>
        <w:spacing w:after="0" w:line="234" w:lineRule="auto"/>
        <w:rPr>
          <w:sz w:val="20"/>
          <w:szCs w:val="20"/>
          <w:color w:val="auto"/>
        </w:rPr>
      </w:pPr>
      <w:r>
        <w:rPr>
          <w:rFonts w:ascii="Arial" w:cs="Arial" w:eastAsia="Arial" w:hAnsi="Arial"/>
          <w:sz w:val="14"/>
          <w:szCs w:val="14"/>
          <w:color w:val="auto"/>
        </w:rPr>
        <w:t>The book value of the shareholder's equity in the corporation plus loans made by the shareholders to the corporation that are assigned, postponed and subordinated in favour of BMO, less any goodwill, amounts due from officers and non-arm's-length entities, long term investments, leasehold improvements, future income tax, patents, or other such assets as are properly classified as "intangible", all as determined by BMO.</w:t>
      </w:r>
    </w:p>
    <w:p>
      <w:pPr>
        <w:spacing w:after="0" w:line="155" w:lineRule="exact"/>
        <w:rPr>
          <w:sz w:val="20"/>
          <w:szCs w:val="20"/>
          <w:color w:val="auto"/>
        </w:rPr>
      </w:pPr>
    </w:p>
    <w:p>
      <w:pPr>
        <w:spacing w:after="0" w:line="291" w:lineRule="auto"/>
        <w:rPr>
          <w:sz w:val="20"/>
          <w:szCs w:val="20"/>
          <w:color w:val="auto"/>
        </w:rPr>
      </w:pPr>
      <w:r>
        <w:rPr>
          <w:rFonts w:ascii="Arial" w:cs="Arial" w:eastAsia="Arial" w:hAnsi="Arial"/>
          <w:sz w:val="13"/>
          <w:szCs w:val="13"/>
          <w:color w:val="auto"/>
        </w:rPr>
        <w:t>On any day, the floating annual rate of interest established by BMO and in effect on such day as the reference rate used to determine the rate of interest charged on U.S. dollar loans to commercial customers in Canada, and designated by BMO as its "US Base Rate".</w:t>
      </w:r>
    </w:p>
    <w:p>
      <w:pPr>
        <w:sectPr>
          <w:pgSz w:w="11900" w:h="16838" w:orient="portrait"/>
          <w:cols w:equalWidth="0" w:num="2">
            <w:col w:w="2680" w:space="720"/>
            <w:col w:w="7940"/>
          </w:cols>
          <w:pgMar w:left="240" w:top="798" w:right="319" w:bottom="1440" w:gutter="0" w:footer="0" w:header="0"/>
          <w:type w:val="continuous"/>
        </w:sectPr>
      </w:pPr>
    </w:p>
    <w:bookmarkStart w:id="81" w:name="page82"/>
    <w:bookmarkEnd w:id="81"/>
    <w:p>
      <w:pPr>
        <w:ind w:left="6080"/>
        <w:spacing w:after="0"/>
        <w:rPr>
          <w:sz w:val="20"/>
          <w:szCs w:val="20"/>
          <w:color w:val="auto"/>
        </w:rPr>
      </w:pPr>
      <w:r>
        <w:rPr>
          <w:rFonts w:ascii="Arial" w:cs="Arial" w:eastAsia="Arial" w:hAnsi="Arial"/>
          <w:sz w:val="20"/>
          <w:szCs w:val="20"/>
          <w:u w:val="single" w:color="auto"/>
          <w:color w:val="auto"/>
        </w:rPr>
        <w:t>COMMITMENT LETTER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Bolt Supply House Ltd.</w:t>
      </w:r>
    </w:p>
    <w:p>
      <w:pPr>
        <w:spacing w:after="0"/>
        <w:rPr>
          <w:sz w:val="20"/>
          <w:szCs w:val="20"/>
          <w:color w:val="auto"/>
        </w:rPr>
      </w:pPr>
      <w:r>
        <w:rPr>
          <w:rFonts w:ascii="Arial" w:cs="Arial" w:eastAsia="Arial" w:hAnsi="Arial"/>
          <w:sz w:val="20"/>
          <w:szCs w:val="20"/>
          <w:b w:val="1"/>
          <w:bCs w:val="1"/>
          <w:color w:val="auto"/>
        </w:rPr>
        <w:t>Summary of Terms and Conditions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500" w:type="dxa"/>
            <w:vAlign w:val="bottom"/>
            <w:gridSpan w:val="2"/>
          </w:tcPr>
          <w:p>
            <w:pPr>
              <w:ind w:left="820"/>
              <w:spacing w:after="0"/>
              <w:rPr>
                <w:sz w:val="20"/>
                <w:szCs w:val="20"/>
                <w:color w:val="auto"/>
              </w:rPr>
            </w:pPr>
            <w:r>
              <w:rPr>
                <w:rFonts w:ascii="Arial" w:cs="Arial" w:eastAsia="Arial" w:hAnsi="Arial"/>
                <w:sz w:val="14"/>
                <w:szCs w:val="14"/>
                <w:color w:val="auto"/>
              </w:rPr>
              <w:t>SCHEDULE B</w:t>
            </w:r>
          </w:p>
        </w:tc>
      </w:tr>
      <w:tr>
        <w:trPr>
          <w:trHeight w:val="350"/>
        </w:trPr>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GENERAL TERMS AND CONDITIONS</w:t>
            </w:r>
          </w:p>
        </w:tc>
        <w:tc>
          <w:tcPr>
            <w:tcW w:w="6040" w:type="dxa"/>
            <w:vAlign w:val="bottom"/>
          </w:tcPr>
          <w:p>
            <w:pPr>
              <w:spacing w:after="0"/>
              <w:rPr>
                <w:sz w:val="24"/>
                <w:szCs w:val="24"/>
                <w:color w:val="auto"/>
              </w:rPr>
            </w:pPr>
          </w:p>
        </w:tc>
      </w:tr>
      <w:tr>
        <w:trPr>
          <w:trHeight w:val="366"/>
        </w:trPr>
        <w:tc>
          <w:tcPr>
            <w:tcW w:w="1760" w:type="dxa"/>
            <w:vAlign w:val="bottom"/>
          </w:tcPr>
          <w:p>
            <w:pPr>
              <w:spacing w:after="0"/>
              <w:rPr>
                <w:sz w:val="20"/>
                <w:szCs w:val="20"/>
                <w:color w:val="auto"/>
              </w:rPr>
            </w:pPr>
            <w:r>
              <w:rPr>
                <w:rFonts w:ascii="Arial" w:cs="Arial" w:eastAsia="Arial" w:hAnsi="Arial"/>
                <w:sz w:val="14"/>
                <w:szCs w:val="14"/>
                <w:color w:val="auto"/>
              </w:rPr>
              <w:t>Assignment:</w:t>
            </w: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3"/>
              </w:rPr>
              <w:t>This Commitment Letter shall be binding upon and enure to the benefit of the parties and their respective successors and permitted assigns. The Borrower shall not</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9"/>
              </w:rPr>
              <w:t>assign any of its rights or obligations hereunder without the prior written consent of BMO. BMO may assign all or part of its rights or obligations under this</w:t>
            </w:r>
          </w:p>
        </w:tc>
      </w:tr>
      <w:tr>
        <w:trPr>
          <w:trHeight w:val="182"/>
        </w:trPr>
        <w:tc>
          <w:tcPr>
            <w:tcW w:w="1760" w:type="dxa"/>
            <w:vAlign w:val="bottom"/>
          </w:tcPr>
          <w:p>
            <w:pPr>
              <w:spacing w:after="0"/>
              <w:rPr>
                <w:sz w:val="15"/>
                <w:szCs w:val="15"/>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rPr>
              <w:t>Commitment Letter or in respect of any Facility or any Security to any person.</w:t>
            </w:r>
          </w:p>
        </w:tc>
      </w:tr>
      <w:tr>
        <w:trPr>
          <w:trHeight w:val="358"/>
        </w:trPr>
        <w:tc>
          <w:tcPr>
            <w:tcW w:w="1760" w:type="dxa"/>
            <w:vAlign w:val="bottom"/>
          </w:tcPr>
          <w:p>
            <w:pPr>
              <w:spacing w:after="0"/>
              <w:rPr>
                <w:sz w:val="20"/>
                <w:szCs w:val="20"/>
                <w:color w:val="auto"/>
              </w:rPr>
            </w:pPr>
            <w:r>
              <w:rPr>
                <w:rFonts w:ascii="Arial" w:cs="Arial" w:eastAsia="Arial" w:hAnsi="Arial"/>
                <w:sz w:val="14"/>
                <w:szCs w:val="14"/>
                <w:color w:val="auto"/>
              </w:rPr>
              <w:t>Confidentiality:</w:t>
            </w: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4"/>
              </w:rPr>
              <w:t>The Borrower and each Guarantor agrees that, without the prior written consent of BMO, it shall not provide this Commitment Letter to, nor discuss the terms and</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5"/>
              </w:rPr>
              <w:t>structure of this offering with, any party other than its employees, lawyers and financial advisors (but not commercial lenders). The Borrower and each Guarantor</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6"/>
              </w:rPr>
              <w:t>consents to the release of information provided to BMO in connection with this Commitment Letter and the Facilities to BMO Financial Group business groups,</w:t>
            </w:r>
          </w:p>
        </w:tc>
      </w:tr>
      <w:tr>
        <w:trPr>
          <w:trHeight w:val="182"/>
        </w:trPr>
        <w:tc>
          <w:tcPr>
            <w:tcW w:w="1760" w:type="dxa"/>
            <w:vAlign w:val="bottom"/>
          </w:tcPr>
          <w:p>
            <w:pPr>
              <w:spacing w:after="0"/>
              <w:rPr>
                <w:sz w:val="15"/>
                <w:szCs w:val="15"/>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rPr>
              <w:t>affiliates and subsidiaries for the purpose of assisting BMO in supporting the Borrower with its strategic plans.</w:t>
            </w:r>
          </w:p>
        </w:tc>
      </w:tr>
      <w:tr>
        <w:trPr>
          <w:trHeight w:val="358"/>
        </w:trPr>
        <w:tc>
          <w:tcPr>
            <w:tcW w:w="1760" w:type="dxa"/>
            <w:vAlign w:val="bottom"/>
          </w:tcPr>
          <w:p>
            <w:pPr>
              <w:spacing w:after="0"/>
              <w:rPr>
                <w:sz w:val="20"/>
                <w:szCs w:val="20"/>
                <w:color w:val="auto"/>
              </w:rPr>
            </w:pPr>
            <w:r>
              <w:rPr>
                <w:rFonts w:ascii="Arial" w:cs="Arial" w:eastAsia="Arial" w:hAnsi="Arial"/>
                <w:sz w:val="14"/>
                <w:szCs w:val="14"/>
                <w:color w:val="auto"/>
              </w:rPr>
              <w:t>Conflicts:</w:t>
            </w: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4"/>
              </w:rPr>
              <w:t>All terms and conditions of BMO's usual and customary security documents and supporting documents shall be deemed to be incorporated in and form part of this</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rPr>
              <w:t>commitment. In the event of any conflict or inconsistency between this Commitment Letter and the terms of any security or supporting document given in</w:t>
            </w:r>
          </w:p>
        </w:tc>
      </w:tr>
      <w:tr>
        <w:trPr>
          <w:trHeight w:val="182"/>
        </w:trPr>
        <w:tc>
          <w:tcPr>
            <w:tcW w:w="1760" w:type="dxa"/>
            <w:vAlign w:val="bottom"/>
          </w:tcPr>
          <w:p>
            <w:pPr>
              <w:spacing w:after="0"/>
              <w:rPr>
                <w:sz w:val="15"/>
                <w:szCs w:val="15"/>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rPr>
              <w:t>connection with this Commitment Letter, any Facility or the Security, the terms of the security or supporting documents shall prevail.</w:t>
            </w:r>
          </w:p>
        </w:tc>
      </w:tr>
      <w:tr>
        <w:trPr>
          <w:trHeight w:val="520"/>
        </w:trPr>
        <w:tc>
          <w:tcPr>
            <w:tcW w:w="1760" w:type="dxa"/>
            <w:vAlign w:val="bottom"/>
          </w:tcPr>
          <w:p>
            <w:pPr>
              <w:spacing w:after="0"/>
              <w:rPr>
                <w:sz w:val="20"/>
                <w:szCs w:val="20"/>
                <w:color w:val="auto"/>
              </w:rPr>
            </w:pPr>
            <w:r>
              <w:rPr>
                <w:rFonts w:ascii="Arial" w:cs="Arial" w:eastAsia="Arial" w:hAnsi="Arial"/>
                <w:sz w:val="14"/>
                <w:szCs w:val="14"/>
                <w:color w:val="auto"/>
              </w:rPr>
              <w:t>Entire Agreement; Waivers</w:t>
            </w: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rPr>
              <w:t>This Commitment Letter supersedes and replaces all prior discussions, and letters and agreements (if any) describing the</w:t>
            </w:r>
          </w:p>
        </w:tc>
      </w:tr>
      <w:tr>
        <w:trPr>
          <w:trHeight w:val="162"/>
        </w:trPr>
        <w:tc>
          <w:tcPr>
            <w:tcW w:w="1760" w:type="dxa"/>
            <w:vAlign w:val="bottom"/>
          </w:tcPr>
          <w:p>
            <w:pPr>
              <w:spacing w:after="0"/>
              <w:rPr>
                <w:sz w:val="20"/>
                <w:szCs w:val="20"/>
                <w:color w:val="auto"/>
              </w:rPr>
            </w:pPr>
            <w:r>
              <w:rPr>
                <w:rFonts w:ascii="Arial" w:cs="Arial" w:eastAsia="Arial" w:hAnsi="Arial"/>
                <w:sz w:val="14"/>
                <w:szCs w:val="14"/>
                <w:color w:val="auto"/>
              </w:rPr>
              <w:t>Severability; Amendments:</w:t>
            </w: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3"/>
              </w:rPr>
              <w:t>terms and conditions of the facilities contained in this Commitment Letter. This Commitment Letter does not, however, serve to operate as a novation. To the extent</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6"/>
              </w:rPr>
              <w:t>necessary, BMO reserves all of its rights in respect of any security that has previously been granted to secure the obligations with respect to the Facilities. The</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6"/>
              </w:rPr>
              <w:t>failure of BMO to require performance by the Borrower or any Guarantor of any provision of this Commitment Letter shall in no way affect the right thereafter to</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4"/>
              </w:rPr>
              <w:t>enforce such provision; nor shall the waiver by BMO of any breach of any covenant, condition or proviso of this Commitment Letter be taken or held to be a waiver</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5"/>
              </w:rPr>
              <w:t>of any further breach of the same covenant, condition or proviso. If any provision of this Commitment Letter is determined to be invalid or unenforceable in whole</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5"/>
              </w:rPr>
              <w:t>or in part, such invalidity or unenforceability shall attach only to such provision and the remainder of this Commitment Letter shall continue in full force and effect.</w:t>
            </w:r>
          </w:p>
        </w:tc>
      </w:tr>
      <w:tr>
        <w:trPr>
          <w:trHeight w:val="182"/>
        </w:trPr>
        <w:tc>
          <w:tcPr>
            <w:tcW w:w="1760" w:type="dxa"/>
            <w:vAlign w:val="bottom"/>
          </w:tcPr>
          <w:p>
            <w:pPr>
              <w:spacing w:after="0"/>
              <w:rPr>
                <w:sz w:val="15"/>
                <w:szCs w:val="15"/>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rPr>
              <w:t>No change or modification of this Commitment Letter is binding upon the parties unless it is in writing and signed by all parties.</w:t>
            </w:r>
          </w:p>
        </w:tc>
      </w:tr>
      <w:tr>
        <w:trPr>
          <w:trHeight w:val="358"/>
        </w:trPr>
        <w:tc>
          <w:tcPr>
            <w:tcW w:w="1760" w:type="dxa"/>
            <w:vAlign w:val="bottom"/>
          </w:tcPr>
          <w:p>
            <w:pPr>
              <w:spacing w:after="0"/>
              <w:rPr>
                <w:sz w:val="20"/>
                <w:szCs w:val="20"/>
                <w:color w:val="auto"/>
              </w:rPr>
            </w:pPr>
            <w:r>
              <w:rPr>
                <w:rFonts w:ascii="Arial" w:cs="Arial" w:eastAsia="Arial" w:hAnsi="Arial"/>
                <w:sz w:val="14"/>
                <w:szCs w:val="14"/>
                <w:color w:val="auto"/>
              </w:rPr>
              <w:t>Evidence of Debt:</w:t>
            </w: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3"/>
              </w:rPr>
              <w:t>The Borrower acknowledges that the actual recording of the amount of any advance or repayment under the Facilities, and interest, fees and other amounts due in</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8"/>
              </w:rPr>
              <w:t>connection with the Facilities, in the accounts of the Borrower maintained by BMO, shall constitute prima facie evidence of the Borrower's indebtedness and</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5"/>
              </w:rPr>
              <w:t>liability from time to time under this Commitment Letter; provided that the obligation of the Borrower to pay or repay any indebtedness and liability in accordance</w:t>
            </w:r>
          </w:p>
        </w:tc>
      </w:tr>
      <w:tr>
        <w:trPr>
          <w:trHeight w:val="182"/>
        </w:trPr>
        <w:tc>
          <w:tcPr>
            <w:tcW w:w="1760" w:type="dxa"/>
            <w:vAlign w:val="bottom"/>
          </w:tcPr>
          <w:p>
            <w:pPr>
              <w:spacing w:after="0"/>
              <w:rPr>
                <w:sz w:val="15"/>
                <w:szCs w:val="15"/>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rPr>
              <w:t>with this Commitment Letter shall not be affected by the failure of BMO to make such recording</w:t>
            </w:r>
          </w:p>
        </w:tc>
      </w:tr>
      <w:tr>
        <w:trPr>
          <w:trHeight w:val="344"/>
        </w:trPr>
        <w:tc>
          <w:tcPr>
            <w:tcW w:w="1760" w:type="dxa"/>
            <w:vAlign w:val="bottom"/>
          </w:tcPr>
          <w:p>
            <w:pPr>
              <w:spacing w:after="0"/>
              <w:rPr>
                <w:sz w:val="20"/>
                <w:szCs w:val="20"/>
                <w:color w:val="auto"/>
              </w:rPr>
            </w:pPr>
            <w:r>
              <w:rPr>
                <w:rFonts w:ascii="Arial" w:cs="Arial" w:eastAsia="Arial" w:hAnsi="Arial"/>
                <w:sz w:val="14"/>
                <w:szCs w:val="14"/>
                <w:color w:val="auto"/>
              </w:rPr>
              <w:t>Expenses:</w:t>
            </w: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3"/>
              </w:rPr>
              <w:t>All costs and expenses incurred by BMO in establishing, documenting and operating the Facilities (including, but not limited to, legal, appraisal and consulting fees</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4"/>
              </w:rPr>
              <w:t>and costs) and in connection with the enforcement of the loan doCumentation are for the account of the Borrower and the Borrower agrees to pay the same in full</w:t>
            </w:r>
          </w:p>
        </w:tc>
      </w:tr>
      <w:tr>
        <w:trPr>
          <w:trHeight w:val="182"/>
        </w:trPr>
        <w:tc>
          <w:tcPr>
            <w:tcW w:w="1760" w:type="dxa"/>
            <w:vAlign w:val="bottom"/>
          </w:tcPr>
          <w:p>
            <w:pPr>
              <w:spacing w:after="0"/>
              <w:rPr>
                <w:sz w:val="15"/>
                <w:szCs w:val="15"/>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rPr>
              <w:t>whether or not this transaction is completed as contemplated herein.</w:t>
            </w:r>
          </w:p>
        </w:tc>
      </w:tr>
      <w:tr>
        <w:trPr>
          <w:trHeight w:val="763"/>
        </w:trPr>
        <w:tc>
          <w:tcPr>
            <w:tcW w:w="1760" w:type="dxa"/>
            <w:vAlign w:val="bottom"/>
          </w:tcPr>
          <w:p>
            <w:pPr>
              <w:spacing w:after="0"/>
              <w:rPr>
                <w:sz w:val="20"/>
                <w:szCs w:val="20"/>
                <w:color w:val="auto"/>
              </w:rPr>
            </w:pPr>
            <w:r>
              <w:rPr>
                <w:rFonts w:ascii="Arial" w:cs="Arial" w:eastAsia="Arial" w:hAnsi="Arial"/>
                <w:sz w:val="14"/>
                <w:szCs w:val="14"/>
                <w:color w:val="auto"/>
              </w:rPr>
              <w:t>Holdbacks:</w:t>
            </w: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7"/>
              </w:rPr>
              <w:t>In the event the Borrower fails to satisfy any condition hereunder which is required to be met prior to receiving any Advance under a Facility, BMO may, at its</w:t>
            </w:r>
          </w:p>
        </w:tc>
      </w:tr>
      <w:tr>
        <w:trPr>
          <w:trHeight w:val="182"/>
        </w:trPr>
        <w:tc>
          <w:tcPr>
            <w:tcW w:w="1760" w:type="dxa"/>
            <w:vAlign w:val="bottom"/>
          </w:tcPr>
          <w:p>
            <w:pPr>
              <w:spacing w:after="0"/>
              <w:rPr>
                <w:sz w:val="15"/>
                <w:szCs w:val="15"/>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rPr>
              <w:t>option and in its sole discretion, provide such Advance to the Borrower subject to a holdback of funds to address</w:t>
            </w:r>
          </w:p>
        </w:tc>
      </w:tr>
    </w:tbl>
    <w:p>
      <w:pPr>
        <w:sectPr>
          <w:pgSz w:w="11900" w:h="16838" w:orient="portrait"/>
          <w:cols w:equalWidth="0" w:num="1">
            <w:col w:w="11420"/>
          </w:cols>
          <w:pgMar w:left="240" w:top="582" w:right="239" w:bottom="1440" w:gutter="0" w:footer="0" w:header="0"/>
        </w:sectPr>
      </w:pPr>
    </w:p>
    <w:bookmarkStart w:id="82" w:name="page83"/>
    <w:bookmarkEnd w:id="82"/>
    <w:p>
      <w:pPr>
        <w:ind w:left="6080"/>
        <w:spacing w:after="0"/>
        <w:rPr>
          <w:sz w:val="20"/>
          <w:szCs w:val="20"/>
          <w:color w:val="auto"/>
        </w:rPr>
      </w:pPr>
      <w:r>
        <w:rPr>
          <w:rFonts w:ascii="Arial" w:cs="Arial" w:eastAsia="Arial" w:hAnsi="Arial"/>
          <w:sz w:val="19"/>
          <w:szCs w:val="19"/>
          <w:u w:val="single" w:color="auto"/>
          <w:color w:val="auto"/>
        </w:rPr>
        <w:t>COMMITMENT LETTER</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Bolt Supply House Ltd.</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Terms and Conditions</w:t>
      </w:r>
    </w:p>
    <w:p>
      <w:pPr>
        <w:spacing w:after="0" w:line="373"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such failure.</w:t>
      </w:r>
    </w:p>
    <w:p>
      <w:pPr>
        <w:sectPr>
          <w:pgSz w:w="11900" w:h="16838" w:orient="portrait"/>
          <w:cols w:equalWidth="0" w:num="1">
            <w:col w:w="11380"/>
          </w:cols>
          <w:pgMar w:left="240" w:top="595" w:right="279" w:bottom="1440" w:gutter="0" w:footer="0" w:header="0"/>
        </w:sectPr>
      </w:pPr>
    </w:p>
    <w:p>
      <w:pPr>
        <w:spacing w:after="0" w:line="217"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Increased Costs, Taxes, Risks, etc.</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The Borrower will reimburse any costs BMO incurs in performing its obligations under the Facilities resulting from any</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change in law, including any reserve or special deposit requirement or any tax or capital requirement or any change in the compliance of BMO therewith, that has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the effect of increasing the cost of funding to BMO or reducing the effective return on its capital. All loan repayments shall be made free and clear of any present</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and future taxes, withholdings or any other deductions. Upon the occurrence of any event which is deemed, in 13MO's sole discretion, to increase risk to BMO in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respect of any Facility, BMO may review the pricing of any Facility.</w:t>
      </w:r>
    </w:p>
    <w:p>
      <w:pPr>
        <w:spacing w:after="0" w:line="192" w:lineRule="exact"/>
        <w:rPr>
          <w:sz w:val="20"/>
          <w:szCs w:val="20"/>
          <w:color w:val="auto"/>
        </w:rPr>
      </w:pPr>
    </w:p>
    <w:p>
      <w:pPr>
        <w:sectPr>
          <w:pgSz w:w="11900" w:h="16838" w:orient="portrait"/>
          <w:cols w:equalWidth="0" w:num="2">
            <w:col w:w="1740" w:space="220"/>
            <w:col w:w="9420"/>
          </w:cols>
          <w:pgMar w:left="240" w:top="595" w:right="279" w:bottom="1440" w:gutter="0" w:footer="0" w:header="0"/>
          <w:type w:val="continuous"/>
        </w:sectPr>
      </w:pPr>
    </w:p>
    <w:p>
      <w:pPr>
        <w:spacing w:after="0"/>
        <w:rPr>
          <w:sz w:val="20"/>
          <w:szCs w:val="20"/>
          <w:color w:val="auto"/>
        </w:rPr>
      </w:pPr>
      <w:r>
        <w:rPr>
          <w:rFonts w:ascii="Arial" w:cs="Arial" w:eastAsia="Arial" w:hAnsi="Arial"/>
          <w:sz w:val="13"/>
          <w:szCs w:val="13"/>
          <w:color w:val="auto"/>
        </w:rPr>
        <w:t>Indemnification:</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4"/>
          <w:szCs w:val="14"/>
          <w:color w:val="auto"/>
        </w:rPr>
        <w:t>The Borrower and each Guarantor jointly and severally agree to indemnify BMO from and against any and all losses, claims, damages and liabilities arising from activities under or contemplated under this Commitment Letter, any Facility or the Security other than those arising solely as a result of I3MO's gross negligence or wilful misconduct.</w:t>
      </w:r>
    </w:p>
    <w:p>
      <w:pPr>
        <w:spacing w:after="0" w:line="172" w:lineRule="exact"/>
        <w:rPr>
          <w:sz w:val="20"/>
          <w:szCs w:val="20"/>
          <w:color w:val="auto"/>
        </w:rPr>
      </w:pPr>
    </w:p>
    <w:p>
      <w:pPr>
        <w:sectPr>
          <w:pgSz w:w="11900" w:h="16838" w:orient="portrait"/>
          <w:cols w:equalWidth="0" w:num="2">
            <w:col w:w="1240" w:space="720"/>
            <w:col w:w="9420"/>
          </w:cols>
          <w:pgMar w:left="240" w:top="595" w:right="279" w:bottom="1440" w:gutter="0" w:footer="0" w:header="0"/>
          <w:type w:val="continuous"/>
        </w:sectPr>
      </w:pPr>
    </w:p>
    <w:p>
      <w:pPr>
        <w:spacing w:after="0"/>
        <w:rPr>
          <w:sz w:val="20"/>
          <w:szCs w:val="20"/>
          <w:color w:val="auto"/>
        </w:rPr>
      </w:pPr>
      <w:r>
        <w:rPr>
          <w:rFonts w:ascii="Arial" w:cs="Arial" w:eastAsia="Arial" w:hAnsi="Arial"/>
          <w:sz w:val="12"/>
          <w:szCs w:val="12"/>
          <w:color w:val="auto"/>
        </w:rPr>
        <w:t>Joint and Several:</w:t>
      </w:r>
    </w:p>
    <w:p>
      <w:pPr>
        <w:spacing w:after="0" w:line="20" w:lineRule="exact"/>
        <w:rPr>
          <w:sz w:val="20"/>
          <w:szCs w:val="20"/>
          <w:color w:val="auto"/>
        </w:rPr>
      </w:pPr>
      <w:r>
        <w:rPr>
          <w:sz w:val="20"/>
          <w:szCs w:val="20"/>
          <w:color w:val="auto"/>
        </w:rPr>
        <w:br w:type="column"/>
      </w:r>
    </w:p>
    <w:p>
      <w:pPr>
        <w:ind w:right="180"/>
        <w:spacing w:after="0" w:line="273" w:lineRule="auto"/>
        <w:rPr>
          <w:sz w:val="20"/>
          <w:szCs w:val="20"/>
          <w:color w:val="auto"/>
        </w:rPr>
      </w:pPr>
      <w:r>
        <w:rPr>
          <w:rFonts w:ascii="Arial" w:cs="Arial" w:eastAsia="Arial" w:hAnsi="Arial"/>
          <w:sz w:val="14"/>
          <w:szCs w:val="14"/>
          <w:color w:val="auto"/>
        </w:rPr>
        <w:t>Where more than one person is liable as Borrower or Guarantor for any obligation under or in connection with this Commitment Letter, then the liability of each such person for such obligation is joint and several with each other such person.</w:t>
      </w:r>
    </w:p>
    <w:p>
      <w:pPr>
        <w:spacing w:after="0" w:line="174" w:lineRule="exact"/>
        <w:rPr>
          <w:sz w:val="20"/>
          <w:szCs w:val="20"/>
          <w:color w:val="auto"/>
        </w:rPr>
      </w:pPr>
    </w:p>
    <w:p>
      <w:pPr>
        <w:sectPr>
          <w:pgSz w:w="11900" w:h="16838" w:orient="portrait"/>
          <w:cols w:equalWidth="0" w:num="2">
            <w:col w:w="1240" w:space="720"/>
            <w:col w:w="9420"/>
          </w:cols>
          <w:pgMar w:left="240" w:top="595" w:right="279" w:bottom="1440" w:gutter="0" w:footer="0" w:header="0"/>
          <w:type w:val="continuous"/>
        </w:sectPr>
      </w:pPr>
    </w:p>
    <w:p>
      <w:pPr>
        <w:spacing w:after="0"/>
        <w:rPr>
          <w:sz w:val="20"/>
          <w:szCs w:val="20"/>
          <w:color w:val="auto"/>
        </w:rPr>
      </w:pPr>
      <w:r>
        <w:rPr>
          <w:rFonts w:ascii="Arial" w:cs="Arial" w:eastAsia="Arial" w:hAnsi="Arial"/>
          <w:sz w:val="13"/>
          <w:szCs w:val="13"/>
          <w:color w:val="auto"/>
        </w:rPr>
        <w:t>Language:</w:t>
      </w:r>
    </w:p>
    <w:p>
      <w:pPr>
        <w:spacing w:after="0" w:line="20" w:lineRule="exact"/>
        <w:rPr>
          <w:sz w:val="20"/>
          <w:szCs w:val="20"/>
          <w:color w:val="auto"/>
        </w:rPr>
      </w:pPr>
      <w:r>
        <w:rPr>
          <w:sz w:val="20"/>
          <w:szCs w:val="20"/>
          <w:color w:val="auto"/>
        </w:rPr>
        <w:br w:type="column"/>
      </w:r>
    </w:p>
    <w:p>
      <w:pPr>
        <w:ind w:right="220"/>
        <w:spacing w:after="0" w:line="273" w:lineRule="auto"/>
        <w:rPr>
          <w:sz w:val="20"/>
          <w:szCs w:val="20"/>
          <w:color w:val="auto"/>
        </w:rPr>
      </w:pPr>
      <w:r>
        <w:rPr>
          <w:rFonts w:ascii="Arial" w:cs="Arial" w:eastAsia="Arial" w:hAnsi="Arial"/>
          <w:sz w:val="14"/>
          <w:szCs w:val="14"/>
          <w:color w:val="auto"/>
        </w:rPr>
        <w:t>It is the express wish of the parties that this agreement and any related documents be drawn up and executed in English. Les parties conviennent que la prosente convention et tous les documents s'y rattachant soient rediges et signs en anglais.</w:t>
      </w:r>
    </w:p>
    <w:p>
      <w:pPr>
        <w:spacing w:after="0" w:line="174" w:lineRule="exact"/>
        <w:rPr>
          <w:sz w:val="20"/>
          <w:szCs w:val="20"/>
          <w:color w:val="auto"/>
        </w:rPr>
      </w:pPr>
    </w:p>
    <w:p>
      <w:pPr>
        <w:sectPr>
          <w:pgSz w:w="11900" w:h="16838" w:orient="portrait"/>
          <w:cols w:equalWidth="0" w:num="2">
            <w:col w:w="1240" w:space="720"/>
            <w:col w:w="9420"/>
          </w:cols>
          <w:pgMar w:left="240" w:top="595" w:right="279" w:bottom="1440" w:gutter="0" w:footer="0" w:header="0"/>
          <w:type w:val="continuous"/>
        </w:sectPr>
      </w:pPr>
    </w:p>
    <w:p>
      <w:pPr>
        <w:spacing w:after="0"/>
        <w:rPr>
          <w:sz w:val="20"/>
          <w:szCs w:val="20"/>
          <w:color w:val="auto"/>
        </w:rPr>
      </w:pPr>
      <w:r>
        <w:rPr>
          <w:rFonts w:ascii="Arial" w:cs="Arial" w:eastAsia="Arial" w:hAnsi="Arial"/>
          <w:sz w:val="13"/>
          <w:szCs w:val="13"/>
          <w:color w:val="auto"/>
        </w:rPr>
        <w:t>Review: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BMO retains the right to review the Facilities at any time and at least annually.</w:t>
      </w:r>
    </w:p>
    <w:p>
      <w:pPr>
        <w:sectPr>
          <w:pgSz w:w="11900" w:h="16838" w:orient="portrait"/>
          <w:cols w:equalWidth="0" w:num="2">
            <w:col w:w="1240" w:space="720"/>
            <w:col w:w="9420"/>
          </w:cols>
          <w:pgMar w:left="240" w:top="595" w:right="279" w:bottom="1440" w:gutter="0" w:footer="0" w:header="0"/>
          <w:type w:val="continuous"/>
        </w:sectPr>
      </w:pPr>
    </w:p>
    <w:bookmarkStart w:id="83" w:name="page84"/>
    <w:bookmarkEnd w:id="83"/>
    <w:p>
      <w:pPr>
        <w:ind w:left="6160"/>
        <w:spacing w:after="0"/>
        <w:rPr>
          <w:sz w:val="20"/>
          <w:szCs w:val="20"/>
          <w:color w:val="auto"/>
        </w:rPr>
      </w:pPr>
      <w:r>
        <w:rPr>
          <w:rFonts w:ascii="Arial" w:cs="Arial" w:eastAsia="Arial" w:hAnsi="Arial"/>
          <w:sz w:val="20"/>
          <w:szCs w:val="20"/>
          <w:b w:val="1"/>
          <w:bCs w:val="1"/>
          <w:u w:val="single" w:color="auto"/>
          <w:color w:val="auto"/>
        </w:rPr>
        <w:t>COMMITMENT LETTER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Bolt Supply House Ltd.</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Terms and Conditions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SCHEDULE C</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4"/>
          <w:szCs w:val="14"/>
          <w:u w:val="single" w:color="auto"/>
          <w:color w:val="auto"/>
        </w:rPr>
        <w:t>CONDITIONS PRECEDENT TO ADVANCES</w:t>
      </w:r>
    </w:p>
    <w:p>
      <w:pPr>
        <w:spacing w:after="0" w:line="136"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Signed Commitment Letter</w:t>
      </w:r>
    </w:p>
    <w:p>
      <w:pPr>
        <w:spacing w:after="0" w:line="257"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Evidence of corporate (or other) status and authority</w:t>
      </w:r>
    </w:p>
    <w:p>
      <w:pPr>
        <w:spacing w:after="0" w:line="257"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Completion and registration (as applicable) of all Security (defined herein) and other supporting documents</w:t>
      </w:r>
    </w:p>
    <w:p>
      <w:pPr>
        <w:spacing w:after="0" w:line="149"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Completion of all facility documentation and account agreements and authorities, as applicable</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Compliance with all representations and warranties contained herein</w:t>
      </w:r>
    </w:p>
    <w:p>
      <w:pPr>
        <w:spacing w:after="0" w:line="13" w:lineRule="exact"/>
        <w:rPr>
          <w:rFonts w:ascii="Arial" w:cs="Arial" w:eastAsia="Arial" w:hAnsi="Arial"/>
          <w:sz w:val="14"/>
          <w:szCs w:val="14"/>
          <w:color w:val="auto"/>
        </w:rPr>
      </w:pPr>
    </w:p>
    <w:p>
      <w:pPr>
        <w:ind w:left="340" w:right="80" w:hanging="332"/>
        <w:spacing w:after="0" w:line="255"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Compliance with all cotenants (financial and non-financial) contained herein No Event of Default (defined herein) shall have occurred and be continuing Compliance with all laws (including environmental)</w:t>
      </w:r>
    </w:p>
    <w:p>
      <w:pPr>
        <w:spacing w:after="0" w:line="226"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Payment of all fees and expenses</w:t>
      </w:r>
    </w:p>
    <w:p>
      <w:pPr>
        <w:spacing w:after="0" w:line="217"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Receipt of all necessary material governmental, regulatory and other third party approvals (including environmental approvals and certificates)</w:t>
      </w:r>
    </w:p>
    <w:p>
      <w:pPr>
        <w:spacing w:after="0" w:line="230" w:lineRule="exact"/>
        <w:rPr>
          <w:rFonts w:ascii="Arial" w:cs="Arial" w:eastAsia="Arial" w:hAnsi="Arial"/>
          <w:sz w:val="14"/>
          <w:szCs w:val="14"/>
          <w:color w:val="auto"/>
        </w:rPr>
      </w:pPr>
    </w:p>
    <w:p>
      <w:pPr>
        <w:ind w:left="340" w:right="60" w:hanging="332"/>
        <w:spacing w:after="0" w:line="273"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Satisfactory due diligence (including, without limitation, anti-money laundering, proceeds of crime and "know your customer" requirements and procedures, environmental and insurance due diligence)</w:t>
      </w:r>
    </w:p>
    <w:p>
      <w:pPr>
        <w:spacing w:after="0" w:line="52"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Nothing shall have occurred since the date of the latest financial statements provided to BMO (Dated: Feb 29 2016 ) or after the date of</w:t>
      </w:r>
    </w:p>
    <w:p>
      <w:pPr>
        <w:spacing w:after="0" w:line="13" w:lineRule="exact"/>
        <w:rPr>
          <w:rFonts w:ascii="Arial" w:cs="Arial" w:eastAsia="Arial" w:hAnsi="Arial"/>
          <w:sz w:val="14"/>
          <w:szCs w:val="14"/>
          <w:color w:val="auto"/>
        </w:rPr>
      </w:pPr>
    </w:p>
    <w:p>
      <w:pPr>
        <w:ind w:left="340" w:right="300"/>
        <w:spacing w:after="0" w:line="255" w:lineRule="auto"/>
        <w:rPr>
          <w:rFonts w:ascii="Arial" w:cs="Arial" w:eastAsia="Arial" w:hAnsi="Arial"/>
          <w:sz w:val="14"/>
          <w:szCs w:val="14"/>
          <w:color w:val="auto"/>
        </w:rPr>
      </w:pPr>
      <w:r>
        <w:rPr>
          <w:rFonts w:ascii="Arial" w:cs="Arial" w:eastAsia="Arial" w:hAnsi="Arial"/>
          <w:sz w:val="14"/>
          <w:szCs w:val="14"/>
          <w:color w:val="auto"/>
        </w:rPr>
        <w:t>this Commitment Letter which would have a material adverse effect upon the business, operations or properties of the Borrower or any Guarantor, the rights and remedies of BMO, or the ability of the Borrower or any Guarantor to perform its obligations to BMO</w:t>
      </w:r>
    </w:p>
    <w:p>
      <w:pPr>
        <w:spacing w:after="0" w:line="226"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Repayment of all existing indebtedness (excluding permitted indebtedness)</w:t>
      </w:r>
    </w:p>
    <w:p>
      <w:pPr>
        <w:spacing w:after="0" w:line="230"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Satisfactory review by BMO (or, at BMO's option and the Borrower's expense, an insurance consultant) of insurance policies issued to the Borrower(s) and/or the Guarantor(s) and compliance with any changes required to satisfy BMO's insurance requirements</w:t>
      </w:r>
    </w:p>
    <w:p>
      <w:pPr>
        <w:spacing w:after="0" w:line="214"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Disclosure of all material contingent obligations</w:t>
      </w:r>
    </w:p>
    <w:p>
      <w:pPr>
        <w:spacing w:after="0" w:line="217"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Confirmation that no shares of the Borrower held by the principal shareholders have been pledged as security for any financial or other indebtedness</w:t>
      </w:r>
    </w:p>
    <w:p>
      <w:pPr>
        <w:spacing w:after="0" w:line="41"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Corporate taxes of the Borrower [and personal taxes of the principal shareholder] are to be confirmed current and up-to-date</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Satisfactory evidence that all other taxes payable by the Borrower [and Guarantor] (including, without limitation, GST, HST, sales tax, and withholdings) have been paid to date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All Canadian bank accounts of the Borrower [and corporate Guarantors] are to be maintained with BMO Any other document or action which BMO may reasonably require</w:t>
      </w:r>
    </w:p>
    <w:p>
      <w:pPr>
        <w:sectPr>
          <w:pgSz w:w="11900" w:h="16838" w:orient="portrait"/>
          <w:cols w:equalWidth="0" w:num="1">
            <w:col w:w="11360"/>
          </w:cols>
          <w:pgMar w:left="240" w:top="1305" w:right="299" w:bottom="1440" w:gutter="0" w:footer="0" w:header="0"/>
        </w:sectPr>
      </w:pPr>
    </w:p>
    <w:bookmarkStart w:id="84" w:name="page85"/>
    <w:bookmarkEnd w:id="84"/>
    <w:p>
      <w:pPr>
        <w:ind w:left="6080"/>
        <w:spacing w:after="0"/>
        <w:rPr>
          <w:sz w:val="20"/>
          <w:szCs w:val="20"/>
          <w:color w:val="auto"/>
        </w:rPr>
      </w:pPr>
      <w:r>
        <w:rPr>
          <w:rFonts w:ascii="Arial" w:cs="Arial" w:eastAsia="Arial" w:hAnsi="Arial"/>
          <w:sz w:val="18"/>
          <w:szCs w:val="18"/>
          <w:b w:val="1"/>
          <w:bCs w:val="1"/>
          <w:u w:val="single" w:color="auto"/>
          <w:color w:val="auto"/>
        </w:rPr>
        <w:t>COMMITMENT LETTER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Bolt Supply House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Terms and Conditions</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SCHEDULE D</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4"/>
          <w:szCs w:val="14"/>
          <w:u w:val="single" w:color="auto"/>
          <w:color w:val="auto"/>
        </w:rPr>
        <w:t>COVENANTS</w:t>
      </w:r>
    </w:p>
    <w:p>
      <w:pPr>
        <w:spacing w:after="0" w:line="31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Payment of all indebtedness due in connection with this Commitment Letter or any Facility</w:t>
      </w:r>
    </w:p>
    <w:p>
      <w:pPr>
        <w:spacing w:after="0" w:line="257"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Maintenance of corporate existence and status</w:t>
      </w:r>
    </w:p>
    <w:p>
      <w:pPr>
        <w:spacing w:after="0" w:line="257"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Payment of all taxes (including, without limitation, corporate, GST, FIST, sales tax and withholdings)</w:t>
      </w:r>
    </w:p>
    <w:p>
      <w:pPr>
        <w:spacing w:after="0" w:line="230"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Compliance with all laws, regulations and applicable permits or approvals (including health, safety and employment standards, labour codes and environmental laws)</w:t>
      </w:r>
    </w:p>
    <w:p>
      <w:pPr>
        <w:spacing w:after="0" w:line="257"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Compliance with all material agreements</w:t>
      </w:r>
    </w:p>
    <w:p>
      <w:pPr>
        <w:spacing w:after="0" w:line="257"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Maintenance of property and assets in good working condition</w:t>
      </w:r>
    </w:p>
    <w:p>
      <w:pPr>
        <w:spacing w:after="0" w:line="244"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Use of proceeds to be consistent with the approved purpose</w:t>
      </w:r>
    </w:p>
    <w:p>
      <w:pPr>
        <w:spacing w:after="0" w:line="13" w:lineRule="exact"/>
        <w:rPr>
          <w:rFonts w:ascii="Arial" w:cs="Arial" w:eastAsia="Arial" w:hAnsi="Arial"/>
          <w:sz w:val="14"/>
          <w:szCs w:val="14"/>
          <w:color w:val="auto"/>
        </w:rPr>
      </w:pPr>
    </w:p>
    <w:p>
      <w:pPr>
        <w:ind w:left="340" w:right="120" w:hanging="332"/>
        <w:spacing w:after="0" w:line="255"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Notices of default, material litigation, and regulatory proceedings to be provided to BMO on a timely basis - Access by BMO to books and records; BMO to have right to inspect property to which its security applies</w:t>
      </w:r>
    </w:p>
    <w:p>
      <w:pPr>
        <w:spacing w:after="0" w:line="226"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 assumption of additional indebtedness or guarantee obligations by Borrower without prior written consent of BMO</w:t>
      </w:r>
    </w:p>
    <w:p>
      <w:pPr>
        <w:spacing w:after="0" w:line="257"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 liens or encumbrances on any assets except with the prior written consent of BMO</w:t>
      </w:r>
    </w:p>
    <w:p>
      <w:pPr>
        <w:spacing w:after="0" w:line="257"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 change of control or ownership of the Borrower or any Guarantor without the prior written consent of BMO</w:t>
      </w:r>
    </w:p>
    <w:p>
      <w:pPr>
        <w:spacing w:after="0" w:line="244"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 disposition of property or assets (except in the ordinary course of business) without the prior written consent of BMO</w:t>
      </w:r>
    </w:p>
    <w:p>
      <w:pPr>
        <w:spacing w:after="0" w:line="13" w:lineRule="exact"/>
        <w:rPr>
          <w:rFonts w:ascii="Arial" w:cs="Arial" w:eastAsia="Arial" w:hAnsi="Arial"/>
          <w:sz w:val="14"/>
          <w:szCs w:val="14"/>
          <w:color w:val="auto"/>
        </w:rPr>
      </w:pPr>
    </w:p>
    <w:p>
      <w:pPr>
        <w:ind w:left="340" w:right="60" w:hanging="332"/>
        <w:spacing w:after="0" w:line="252"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 material judgments or material legal action initiated against the Borrower and/or any Guarantor(s) - No material acquisitions, hostile takeovers, mergers or amalgamations without BMO's prior written approval</w:t>
      </w:r>
    </w:p>
    <w:p>
      <w:pPr>
        <w:spacing w:after="0" w:line="1" w:lineRule="exact"/>
        <w:rPr>
          <w:rFonts w:ascii="Arial" w:cs="Arial" w:eastAsia="Arial" w:hAnsi="Arial"/>
          <w:sz w:val="14"/>
          <w:szCs w:val="14"/>
          <w:color w:val="auto"/>
        </w:rPr>
      </w:pPr>
    </w:p>
    <w:p>
      <w:pPr>
        <w:ind w:left="340" w:right="220" w:hanging="332"/>
        <w:spacing w:after="0" w:line="273"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 financial assistance, investments, employee loans or affiliate transactions, except for those held at the date of this Commitment Letter and in amounts approved by BMO, and subject to ongoing compliance with the other covenants contained in this Commitment Letter</w:t>
      </w:r>
    </w:p>
    <w:p>
      <w:pPr>
        <w:spacing w:after="0" w:line="187"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 sale and leaseback transactions</w:t>
      </w:r>
    </w:p>
    <w:p>
      <w:pPr>
        <w:spacing w:after="0" w:line="217"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Borrower will not, without BMO's prior written consent, request or accept any prepayments of rent pursuant to any lease in connection with the Mortgaged Property except for the last month's rent</w:t>
      </w:r>
    </w:p>
    <w:p>
      <w:pPr>
        <w:spacing w:after="0" w:line="173"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Borrower will not charge any rent to any tenant of any part of the Mortgaged Property in excess of the amount of rent then permitted by applicable law</w:t>
      </w:r>
    </w:p>
    <w:p>
      <w:pPr>
        <w:sectPr>
          <w:pgSz w:w="11900" w:h="16838" w:orient="portrait"/>
          <w:cols w:equalWidth="0" w:num="1">
            <w:col w:w="11340"/>
          </w:cols>
          <w:pgMar w:left="240" w:top="580" w:right="319" w:bottom="1440" w:gutter="0" w:footer="0" w:header="0"/>
        </w:sectPr>
      </w:pPr>
    </w:p>
    <w:bookmarkStart w:id="85" w:name="page86"/>
    <w:bookmarkEnd w:id="85"/>
    <w:p>
      <w:pPr>
        <w:ind w:left="6160"/>
        <w:spacing w:after="0"/>
        <w:rPr>
          <w:sz w:val="20"/>
          <w:szCs w:val="20"/>
          <w:color w:val="auto"/>
        </w:rPr>
      </w:pPr>
      <w:r>
        <w:rPr>
          <w:rFonts w:ascii="Arial" w:cs="Arial" w:eastAsia="Arial" w:hAnsi="Arial"/>
          <w:sz w:val="18"/>
          <w:szCs w:val="18"/>
          <w:b w:val="1"/>
          <w:bCs w:val="1"/>
          <w:u w:val="single" w:color="auto"/>
          <w:color w:val="auto"/>
        </w:rPr>
        <w:t>COMMITMENT LETTER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Bolt Supply House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Terms and Conditions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SCHEDULE 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auto"/>
        </w:rPr>
        <w:t>REPRESENTATIONS AND WARRANTIES</w:t>
      </w:r>
    </w:p>
    <w:p>
      <w:pPr>
        <w:spacing w:after="0" w:line="200" w:lineRule="exact"/>
        <w:rPr>
          <w:sz w:val="20"/>
          <w:szCs w:val="20"/>
          <w:color w:val="auto"/>
        </w:rPr>
      </w:pPr>
    </w:p>
    <w:p>
      <w:pPr>
        <w:spacing w:after="0" w:line="274" w:lineRule="exact"/>
        <w:rPr>
          <w:sz w:val="20"/>
          <w:szCs w:val="20"/>
          <w:color w:val="auto"/>
        </w:rPr>
      </w:pPr>
    </w:p>
    <w:p>
      <w:pPr>
        <w:ind w:left="340" w:right="320" w:hanging="332"/>
        <w:spacing w:after="0" w:line="273"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It has the corporate status, power and authority to enter into this Commitment Letter and any agreement executed in connection with a Facility or any Security to which it is a party, and to performs its obligations hereunder and thereunder</w:t>
      </w:r>
    </w:p>
    <w:p>
      <w:pPr>
        <w:spacing w:after="0" w:line="254" w:lineRule="exact"/>
        <w:rPr>
          <w:rFonts w:ascii="Arial" w:cs="Arial" w:eastAsia="Arial" w:hAnsi="Arial"/>
          <w:sz w:val="14"/>
          <w:szCs w:val="14"/>
          <w:color w:val="auto"/>
        </w:rPr>
      </w:pPr>
    </w:p>
    <w:p>
      <w:pPr>
        <w:ind w:left="240" w:hanging="232"/>
        <w:spacing w:after="0"/>
        <w:tabs>
          <w:tab w:leader="none" w:pos="2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It is in compliance with all applicable laws (including environmental laws) and its existing agreements</w:t>
      </w:r>
    </w:p>
    <w:p>
      <w:pPr>
        <w:spacing w:after="0" w:line="258" w:lineRule="exact"/>
        <w:rPr>
          <w:sz w:val="20"/>
          <w:szCs w:val="20"/>
          <w:color w:val="auto"/>
        </w:rPr>
      </w:pPr>
    </w:p>
    <w:p>
      <w:pPr>
        <w:ind w:left="340" w:right="220"/>
        <w:spacing w:after="0" w:line="312" w:lineRule="auto"/>
        <w:rPr>
          <w:sz w:val="20"/>
          <w:szCs w:val="20"/>
          <w:color w:val="auto"/>
        </w:rPr>
      </w:pPr>
      <w:r>
        <w:rPr>
          <w:rFonts w:ascii="Arial" w:cs="Arial" w:eastAsia="Arial" w:hAnsi="Arial"/>
          <w:sz w:val="13"/>
          <w:szCs w:val="13"/>
          <w:color w:val="auto"/>
        </w:rPr>
        <w:t>Except as otherwise disclosed to BMO in writing, no consent or approval of, registration or filing with, or any other action by, any governmental authority is required in connection with the execution, delivery and performance by it of this Commitment Letter and any agreement executed in connection with a Facility or any Security to which it is a party</w:t>
      </w:r>
    </w:p>
    <w:p>
      <w:pPr>
        <w:spacing w:after="0" w:line="70"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All factual information that has been provided to BMO for purposes of or in connection with this Commitment Letter or any</w:t>
      </w:r>
    </w:p>
    <w:p>
      <w:pPr>
        <w:spacing w:after="0" w:line="13"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transaction contemplated herein is true and complete in all material respects on the date as of which such information is dated or certified</w:t>
      </w:r>
    </w:p>
    <w:p>
      <w:pPr>
        <w:spacing w:after="0" w:line="124"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Since December 31 2014, no event, development or circumstance has occurred that has had or could reasonably be expected</w:t>
      </w:r>
    </w:p>
    <w:p>
      <w:pPr>
        <w:spacing w:after="0" w:line="2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 xml:space="preserve">to have a material adverse effect on the business, assets, operations or condition, </w:t>
      </w:r>
      <w:r>
        <w:rPr>
          <w:rFonts w:ascii="Arial" w:cs="Arial" w:eastAsia="Arial" w:hAnsi="Arial"/>
          <w:sz w:val="16"/>
          <w:szCs w:val="16"/>
          <w:color w:val="auto"/>
        </w:rPr>
        <w:t>fi</w:t>
      </w:r>
      <w:r>
        <w:rPr>
          <w:rFonts w:ascii="Arial" w:cs="Arial" w:eastAsia="Arial" w:hAnsi="Arial"/>
          <w:sz w:val="14"/>
          <w:szCs w:val="14"/>
          <w:color w:val="auto"/>
        </w:rPr>
        <w:t>nancial or otherwise, of the Borrower or any Guarantor</w:t>
      </w:r>
    </w:p>
    <w:p>
      <w:pPr>
        <w:spacing w:after="0" w:line="254"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There is no material litigation pending against it or, to its knowledge, threatened against or affecting it</w:t>
      </w:r>
    </w:p>
    <w:p>
      <w:pPr>
        <w:spacing w:after="0" w:line="257"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It has timely filed or caused to be filed all required tax returns and reports and has paid or caused to be paid all required taxes</w:t>
      </w:r>
    </w:p>
    <w:p>
      <w:pPr>
        <w:spacing w:after="0" w:line="257"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It has good and marketable title to its properties and assets</w:t>
      </w:r>
    </w:p>
    <w:p>
      <w:pPr>
        <w:spacing w:after="0" w:line="230" w:lineRule="exact"/>
        <w:rPr>
          <w:rFonts w:ascii="Arial" w:cs="Arial" w:eastAsia="Arial" w:hAnsi="Arial"/>
          <w:sz w:val="14"/>
          <w:szCs w:val="14"/>
          <w:color w:val="auto"/>
        </w:rPr>
      </w:pPr>
    </w:p>
    <w:p>
      <w:pPr>
        <w:ind w:left="340" w:right="280"/>
        <w:spacing w:after="0" w:line="312" w:lineRule="auto"/>
        <w:rPr>
          <w:rFonts w:ascii="Arial" w:cs="Arial" w:eastAsia="Arial" w:hAnsi="Arial"/>
          <w:sz w:val="14"/>
          <w:szCs w:val="14"/>
          <w:color w:val="auto"/>
        </w:rPr>
      </w:pPr>
      <w:r>
        <w:rPr>
          <w:rFonts w:ascii="Arial" w:cs="Arial" w:eastAsia="Arial" w:hAnsi="Arial"/>
          <w:sz w:val="13"/>
          <w:szCs w:val="13"/>
          <w:color w:val="auto"/>
        </w:rPr>
        <w:t>It has complied with all obligations in connection with any pension plan which it has sponsored, administered or contributed to, or is required to contribute to including, without limitation, registration in accordance with applicable laws, timely payment of all required contributions or premiums, and performance of all fiduciary and administration obligations</w:t>
      </w:r>
    </w:p>
    <w:p>
      <w:pPr>
        <w:spacing w:after="0" w:line="178"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It has ownership of and/or sufficient rights in any material intellectual property</w:t>
      </w:r>
    </w:p>
    <w:p>
      <w:pPr>
        <w:spacing w:after="0" w:line="217"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It maintains insurance policies and coverage that provides sufficient insurance coverage in at least such amounts and against at least such risks as are usually insured against in the same general area by persons in the same or a similar business</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It is not in default nor has any event or circumstance occurred which, but for the passage of time or the giving of notice, or</w:t>
      </w:r>
    </w:p>
    <w:p>
      <w:pPr>
        <w:spacing w:after="0" w:line="13"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both, would constitute a default under any loan, credit or security agreement, or under any material instrument or agreement, to which it is a party</w:t>
      </w:r>
    </w:p>
    <w:p>
      <w:pPr>
        <w:sectPr>
          <w:pgSz w:w="11900" w:h="16838" w:orient="portrait"/>
          <w:cols w:equalWidth="0" w:num="1">
            <w:col w:w="11400"/>
          </w:cols>
          <w:pgMar w:left="240" w:top="1323" w:right="259" w:bottom="1440" w:gutter="0" w:footer="0" w:header="0"/>
        </w:sectPr>
      </w:pPr>
    </w:p>
    <w:bookmarkStart w:id="86" w:name="page87"/>
    <w:bookmarkEnd w:id="86"/>
    <w:p>
      <w:pPr>
        <w:ind w:left="6080"/>
        <w:spacing w:after="0"/>
        <w:rPr>
          <w:sz w:val="20"/>
          <w:szCs w:val="20"/>
          <w:color w:val="auto"/>
        </w:rPr>
      </w:pPr>
      <w:r>
        <w:rPr>
          <w:rFonts w:ascii="Arial" w:cs="Arial" w:eastAsia="Arial" w:hAnsi="Arial"/>
          <w:sz w:val="20"/>
          <w:szCs w:val="20"/>
          <w:u w:val="single" w:color="auto"/>
          <w:color w:val="auto"/>
        </w:rPr>
        <w:t>COMMITMENT LETTER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Bolt Supply House Ltd.</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Terms and Conditions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SCHEDULE F</w:t>
      </w:r>
    </w:p>
    <w:p>
      <w:pPr>
        <w:spacing w:after="0" w:line="217" w:lineRule="exact"/>
        <w:rPr>
          <w:sz w:val="20"/>
          <w:szCs w:val="20"/>
          <w:color w:val="auto"/>
        </w:rPr>
      </w:pPr>
    </w:p>
    <w:p>
      <w:pPr>
        <w:ind w:left="3420"/>
        <w:spacing w:after="0"/>
        <w:rPr>
          <w:sz w:val="20"/>
          <w:szCs w:val="20"/>
          <w:color w:val="auto"/>
        </w:rPr>
      </w:pPr>
      <w:r>
        <w:rPr>
          <w:rFonts w:ascii="Arial" w:cs="Arial" w:eastAsia="Arial" w:hAnsi="Arial"/>
          <w:sz w:val="14"/>
          <w:szCs w:val="14"/>
          <w:u w:val="single" w:color="auto"/>
          <w:color w:val="auto"/>
        </w:rPr>
        <w:t>EVENTS OF DEFAULT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Failure to pay any interest, principal, fees or other amounts due in connection with this Commitment Letter or any of the Facilities</w:t>
      </w:r>
    </w:p>
    <w:p>
      <w:pPr>
        <w:spacing w:after="0" w:line="230"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Breach by the Borrower or any Guarantor of any covenant or agreement under or in connection with this Commitment Letter or any of the Facilities</w:t>
      </w:r>
    </w:p>
    <w:p>
      <w:pPr>
        <w:spacing w:after="0" w:line="244" w:lineRule="exact"/>
        <w:rPr>
          <w:rFonts w:ascii="Arial" w:cs="Arial" w:eastAsia="Arial" w:hAnsi="Arial"/>
          <w:sz w:val="14"/>
          <w:szCs w:val="14"/>
          <w:color w:val="auto"/>
        </w:rPr>
      </w:pPr>
    </w:p>
    <w:p>
      <w:pPr>
        <w:ind w:left="100" w:hanging="92"/>
        <w:spacing w:after="0"/>
        <w:tabs>
          <w:tab w:leader="none" w:pos="1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occurrence of an event of default under any document executed in connection with a Facility or any of the Security</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Inaccurate or false representations or warranties made by the Borrower or any Guarantor under or in connection with this Commitment Letter</w:t>
      </w:r>
    </w:p>
    <w:p>
      <w:pPr>
        <w:spacing w:after="0" w:line="230"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Commitment Letter or any document executed in connection therewith or in connection with a Facility or the Security is repudiated by the Borrower or any Guarantor or is no longer in force and effect</w:t>
      </w:r>
    </w:p>
    <w:p>
      <w:pPr>
        <w:spacing w:after="0" w:line="187" w:lineRule="exact"/>
        <w:rPr>
          <w:rFonts w:ascii="Arial" w:cs="Arial" w:eastAsia="Arial" w:hAnsi="Arial"/>
          <w:sz w:val="14"/>
          <w:szCs w:val="14"/>
          <w:color w:val="auto"/>
        </w:rPr>
      </w:pPr>
    </w:p>
    <w:p>
      <w:pPr>
        <w:ind w:left="340" w:right="40"/>
        <w:spacing w:after="0" w:line="257" w:lineRule="auto"/>
        <w:rPr>
          <w:rFonts w:ascii="Arial" w:cs="Arial" w:eastAsia="Arial" w:hAnsi="Arial"/>
          <w:sz w:val="14"/>
          <w:szCs w:val="14"/>
          <w:color w:val="auto"/>
        </w:rPr>
      </w:pPr>
      <w:r>
        <w:rPr>
          <w:rFonts w:ascii="Arial" w:cs="Arial" w:eastAsia="Arial" w:hAnsi="Arial"/>
          <w:sz w:val="14"/>
          <w:szCs w:val="14"/>
          <w:color w:val="auto"/>
        </w:rPr>
        <w:t>The Borrower or any Guarantor (i) becomes insolvent, (ii) is unable generally to pay its debts as they become due, (iii) makes a proposal in bankruptcy or files a notice of intention to make such a proposal, (iv) makes an assignment in bankruptcy, (v) brings a court action to have itself declared insolvent or bankrupt, or another person brings an action for such a declaration, or (vi) defaults under any payment obligation to another creditor or breaches any agreement with another creditor in respect of a payment obligation</w:t>
      </w:r>
    </w:p>
    <w:p>
      <w:pPr>
        <w:spacing w:after="0" w:line="198"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material adverse change occurs in the financial condition, business, property or prospects of the Borrower or any Guarantor, as determined by HMO</w:t>
      </w:r>
    </w:p>
    <w:p>
      <w:pPr>
        <w:spacing w:after="0" w:line="257"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Change of ownership or control occurs without BMO's prior consent</w:t>
      </w:r>
    </w:p>
    <w:p>
      <w:pPr>
        <w:spacing w:after="0" w:line="230" w:lineRule="exact"/>
        <w:rPr>
          <w:rFonts w:ascii="Arial" w:cs="Arial" w:eastAsia="Arial" w:hAnsi="Arial"/>
          <w:sz w:val="14"/>
          <w:szCs w:val="14"/>
          <w:color w:val="auto"/>
        </w:rPr>
      </w:pPr>
    </w:p>
    <w:p>
      <w:pPr>
        <w:ind w:left="340" w:right="200"/>
        <w:spacing w:after="0" w:line="273" w:lineRule="auto"/>
        <w:rPr>
          <w:rFonts w:ascii="Arial" w:cs="Arial" w:eastAsia="Arial" w:hAnsi="Arial"/>
          <w:sz w:val="14"/>
          <w:szCs w:val="14"/>
          <w:color w:val="auto"/>
        </w:rPr>
      </w:pPr>
      <w:r>
        <w:rPr>
          <w:rFonts w:ascii="Arial" w:cs="Arial" w:eastAsia="Arial" w:hAnsi="Arial"/>
          <w:sz w:val="14"/>
          <w:szCs w:val="14"/>
          <w:color w:val="auto"/>
        </w:rPr>
        <w:t>A judgment is made against the Borrower or any Guarantor in excess of $0.01 by any court of competent jurisdiction and such judgment is not either (i) actively and diligently appealed and execution thereof stayed, or (ii) paid or otherwise satisfied, in each case within 30 days of the rendering of such judgment</w:t>
      </w:r>
    </w:p>
    <w:p>
      <w:pPr>
        <w:sectPr>
          <w:pgSz w:w="11900" w:h="16838" w:orient="portrait"/>
          <w:cols w:equalWidth="0" w:num="1">
            <w:col w:w="11400"/>
          </w:cols>
          <w:pgMar w:left="240" w:top="1325" w:right="259" w:bottom="1440" w:gutter="0" w:footer="0" w:header="0"/>
        </w:sectPr>
      </w:pPr>
    </w:p>
    <w:bookmarkStart w:id="87" w:name="page88"/>
    <w:bookmarkEnd w:id="87"/>
    <w:p>
      <w:pPr>
        <w:jc w:val="center"/>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G. DeCata, certify that:</w:t>
      </w:r>
    </w:p>
    <w:p>
      <w:pPr>
        <w:spacing w:after="0" w:line="225"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Lawson Products, Inc. (the “registrant”);</w:t>
      </w:r>
    </w:p>
    <w:p>
      <w:pPr>
        <w:spacing w:after="0" w:line="225"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180" w:right="60" w:hanging="172"/>
        <w:spacing w:after="0" w:line="277" w:lineRule="auto"/>
        <w:tabs>
          <w:tab w:leader="none" w:pos="198"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180" w:right="200" w:hanging="172"/>
        <w:spacing w:after="0" w:line="264" w:lineRule="auto"/>
        <w:tabs>
          <w:tab w:leader="none" w:pos="19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00" w:right="200" w:hanging="330"/>
        <w:spacing w:after="0" w:line="264" w:lineRule="auto"/>
        <w:tabs>
          <w:tab w:leader="none" w:pos="5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hanging="330"/>
        <w:spacing w:after="0" w:line="264" w:lineRule="auto"/>
        <w:tabs>
          <w:tab w:leader="none" w:pos="5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40" w:hanging="330"/>
        <w:spacing w:after="0" w:line="277" w:lineRule="auto"/>
        <w:tabs>
          <w:tab w:leader="none" w:pos="5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500" w:right="100" w:hanging="330"/>
        <w:spacing w:after="0" w:line="264" w:lineRule="auto"/>
        <w:tabs>
          <w:tab w:leader="none" w:pos="5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160" w:hanging="330"/>
        <w:spacing w:after="0" w:line="277" w:lineRule="auto"/>
        <w:tabs>
          <w:tab w:leader="none" w:pos="5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0" w:hanging="330"/>
        <w:spacing w:after="0" w:line="277" w:lineRule="auto"/>
        <w:tabs>
          <w:tab w:leader="none" w:pos="5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G. DeCata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1645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9">
                      <a:extLst>
                        <a:ext uri="{28A0092B-C50C-407E-A947-70E740481C1C}"/>
                      </a:extLst>
                    </a:blip>
                    <a:srcRect/>
                    <a:stretch>
                      <a:fillRect/>
                    </a:stretch>
                  </pic:blipFill>
                  <pic:spPr bwMode="auto">
                    <a:xfrm>
                      <a:off x="0" y="0"/>
                      <a:ext cx="11645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G. DeCata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88" w:name="page89"/>
    <w:bookmarkEnd w:id="8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Ronald J. Knutson, certify that:</w:t>
      </w:r>
    </w:p>
    <w:p>
      <w:pPr>
        <w:spacing w:after="0" w:line="225"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Lawson Products, Inc. (the “registrant”);</w:t>
      </w:r>
    </w:p>
    <w:p>
      <w:pPr>
        <w:spacing w:after="0" w:line="225"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180" w:right="60" w:hanging="172"/>
        <w:spacing w:after="0" w:line="277" w:lineRule="auto"/>
        <w:tabs>
          <w:tab w:leader="none" w:pos="1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180" w:right="200" w:hanging="172"/>
        <w:spacing w:after="0" w:line="264" w:lineRule="auto"/>
        <w:tabs>
          <w:tab w:leader="none" w:pos="1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00" w:right="200" w:hanging="330"/>
        <w:spacing w:after="0" w:line="264" w:lineRule="auto"/>
        <w:tabs>
          <w:tab w:leader="none" w:pos="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hanging="330"/>
        <w:spacing w:after="0" w:line="264" w:lineRule="auto"/>
        <w:tabs>
          <w:tab w:leader="none" w:pos="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40" w:hanging="330"/>
        <w:spacing w:after="0" w:line="277" w:lineRule="auto"/>
        <w:tabs>
          <w:tab w:leader="none" w:pos="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500" w:right="100" w:hanging="330"/>
        <w:spacing w:after="0" w:line="264" w:lineRule="auto"/>
        <w:tabs>
          <w:tab w:leader="none" w:pos="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160" w:hanging="330"/>
        <w:spacing w:after="0" w:line="277" w:lineRule="auto"/>
        <w:tabs>
          <w:tab w:leader="none" w:pos="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0" w:hanging="330"/>
        <w:spacing w:after="0" w:line="277" w:lineRule="auto"/>
        <w:tabs>
          <w:tab w:leader="none" w:pos="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Ronald J. Knutson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0985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0">
                      <a:extLst>
                        <a:ext uri="{28A0092B-C50C-407E-A947-70E740481C1C}"/>
                      </a:extLst>
                    </a:blip>
                    <a:srcRect/>
                    <a:stretch>
                      <a:fillRect/>
                    </a:stretch>
                  </pic:blipFill>
                  <pic:spPr bwMode="auto">
                    <a:xfrm>
                      <a:off x="0" y="0"/>
                      <a:ext cx="10985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Ronald J. Knutson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Controller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In connection with the Annual Report of Lawson Products, Inc. (the “Company”) on Form 10-K for the period ending December 31, 2018 as filed with the Securities and Exchange Commission on the date hereof (the “Report”), the undersigned Chief Executive Officer and Chief Financial Officer of the Company hereby certify, pursuant to 18 U.S.C. §1350, as adopted pursuant to §906 of the Sarbanes-Oxley Act of 2002 that based on their knowledge:</w:t>
      </w:r>
    </w:p>
    <w:p>
      <w:pPr>
        <w:spacing w:after="0" w:line="166"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covered in the Report.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March 4, 2019</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u w:val="single" w:color="auto"/>
          <w:color w:val="auto"/>
        </w:rPr>
        <w:t>/s / Michael G. DeCata</w:t>
      </w:r>
      <w:r>
        <w:rPr>
          <w:rFonts w:ascii="Arial" w:cs="Arial" w:eastAsia="Arial" w:hAnsi="Arial"/>
          <w:sz w:val="18"/>
          <w:szCs w:val="18"/>
          <w:color w:val="auto"/>
        </w:rPr>
        <w:t xml:space="preserve"> </w:t>
      </w:r>
      <w:r>
        <w:rPr>
          <w:rFonts w:ascii="Arial" w:cs="Arial" w:eastAsia="Arial" w:hAnsi="Arial"/>
          <w:sz w:val="18"/>
          <w:szCs w:val="18"/>
          <w:color w:val="FFFFFF"/>
        </w:rPr>
        <w:t>l</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 xml:space="preserve">Michael G. DeCata </w:t>
      </w:r>
      <w:r>
        <w:rPr>
          <w:rFonts w:ascii="Arial" w:cs="Arial" w:eastAsia="Arial" w:hAnsi="Arial"/>
          <w:sz w:val="18"/>
          <w:szCs w:val="18"/>
          <w:color w:val="FFFFFF"/>
        </w:rPr>
        <w:t>l</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Lawson Products, Inc.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4060"/>
        <w:spacing w:after="0"/>
        <w:rPr>
          <w:sz w:val="20"/>
          <w:szCs w:val="20"/>
          <w:color w:val="auto"/>
        </w:rPr>
      </w:pPr>
      <w:r>
        <w:rPr>
          <w:rFonts w:ascii="Arial" w:cs="Arial" w:eastAsia="Arial" w:hAnsi="Arial"/>
          <w:sz w:val="18"/>
          <w:szCs w:val="18"/>
          <w:u w:val="single" w:color="auto"/>
          <w:color w:val="auto"/>
        </w:rPr>
        <w:t>/s/ Ronald J. Knutson</w:t>
      </w:r>
      <w:r>
        <w:rPr>
          <w:rFonts w:ascii="Arial" w:cs="Arial" w:eastAsia="Arial" w:hAnsi="Arial"/>
          <w:sz w:val="18"/>
          <w:szCs w:val="18"/>
          <w:color w:val="auto"/>
        </w:rPr>
        <w:t xml:space="preserve"> </w:t>
      </w:r>
      <w:r>
        <w:rPr>
          <w:rFonts w:ascii="Arial" w:cs="Arial" w:eastAsia="Arial" w:hAnsi="Arial"/>
          <w:sz w:val="18"/>
          <w:szCs w:val="18"/>
          <w:color w:val="FFFFFF"/>
        </w:rPr>
        <w: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-10160</wp:posOffset>
            </wp:positionV>
            <wp:extent cx="317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1">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 xml:space="preserve">Ronald J. Knutson </w:t>
      </w:r>
      <w:r>
        <w:rPr>
          <w:rFonts w:ascii="Arial" w:cs="Arial" w:eastAsia="Arial" w:hAnsi="Arial"/>
          <w:sz w:val="18"/>
          <w:szCs w:val="18"/>
          <w:color w:val="FFFFFF"/>
        </w:rPr>
        <w:t>l</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Treasurer and Controller</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Lawson Products, Inc.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lowerRoman"/>
      <w:start w:val="3"/>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lowerLetter"/>
      <w:start w:val="2"/>
    </w:lvl>
  </w:abstractNum>
  <w:abstractNum w:abstractNumId="14">
    <w:nsid w:val="79838CB2"/>
    <w:multiLevelType w:val="hybridMultilevel"/>
    <w:lvl w:ilvl="0">
      <w:lvlJc w:val="left"/>
      <w:lvlText w:val="%1."/>
      <w:numFmt w:val="lowerLetter"/>
      <w:start w:val="4"/>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lowerLetter"/>
      <w:start w:val="1"/>
    </w:lvl>
    <w:lvl w:ilvl="1">
      <w:lvlJc w:val="left"/>
      <w:lvlText w:val="(%2)"/>
      <w:numFmt w:val="decimal"/>
      <w:start w:val="2"/>
    </w:lvl>
  </w:abstractNum>
  <w:abstractNum w:abstractNumId="17">
    <w:nsid w:val="189A769B"/>
    <w:multiLevelType w:val="hybridMultilevel"/>
    <w:lvl w:ilvl="0">
      <w:lvlJc w:val="left"/>
      <w:lvlText w:val="%1"/>
      <w:numFmt w:val="decimal"/>
      <w:start w:val="32"/>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lowerLetter"/>
      <w:start w:val="2"/>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abstractNum w:abstractNumId="25">
    <w:nsid w:val="1E7FF521"/>
    <w:multiLevelType w:val="hybridMultilevel"/>
    <w:lvl w:ilvl="0">
      <w:lvlJc w:val="left"/>
      <w:lvlText w:val="%1)"/>
      <w:numFmt w:val="upperLetter"/>
      <w:start w:val="9"/>
    </w:lvl>
  </w:abstractNum>
  <w:abstractNum w:abstractNumId="26">
    <w:nsid w:val="7C3DBD3D"/>
    <w:multiLevelType w:val="hybridMultilevel"/>
    <w:lvl w:ilvl="0">
      <w:lvlJc w:val="left"/>
      <w:lvlText w:val="%1)"/>
      <w:numFmt w:val="decimal"/>
      <w:start w:val="2"/>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49" Type="http://schemas.openxmlformats.org/officeDocument/2006/relationships/image" Target="media/image9.png"/><Relationship Id="rId50" Type="http://schemas.openxmlformats.org/officeDocument/2006/relationships/image" Target="media/image10.png"/><Relationship Id="rId51" Type="http://schemas.openxmlformats.org/officeDocument/2006/relationships/image" Target="media/image11.png"/><Relationship Id="rId52" Type="http://schemas.openxmlformats.org/officeDocument/2006/relationships/image" Target="media/image12.png"/><Relationship Id="rId53" Type="http://schemas.openxmlformats.org/officeDocument/2006/relationships/image" Target="media/image13.png"/><Relationship Id="rId54" Type="http://schemas.openxmlformats.org/officeDocument/2006/relationships/image" Target="media/image14.png"/><Relationship Id="rId55" Type="http://schemas.openxmlformats.org/officeDocument/2006/relationships/image" Target="media/image15.png"/><Relationship Id="rId56" Type="http://schemas.openxmlformats.org/officeDocument/2006/relationships/image" Target="media/image16.png"/><Relationship Id="rId57" Type="http://schemas.openxmlformats.org/officeDocument/2006/relationships/image" Target="media/image17.png"/><Relationship Id="rId58" Type="http://schemas.openxmlformats.org/officeDocument/2006/relationships/image" Target="media/image18.png"/><Relationship Id="rId59" Type="http://schemas.openxmlformats.org/officeDocument/2006/relationships/image" Target="media/image19.png"/><Relationship Id="rId60" Type="http://schemas.openxmlformats.org/officeDocument/2006/relationships/image" Target="media/image20.png"/><Relationship Id="rId61" Type="http://schemas.openxmlformats.org/officeDocument/2006/relationships/image" Target="media/image21.png"/><Relationship Id="rId62" Type="http://schemas.openxmlformats.org/officeDocument/2006/relationships/image" Target="media/image22.png"/><Relationship Id="rId63" Type="http://schemas.openxmlformats.org/officeDocument/2006/relationships/image" Target="media/image23.png"/><Relationship Id="rId64" Type="http://schemas.openxmlformats.org/officeDocument/2006/relationships/image" Target="media/image24.png"/><Relationship Id="rId65" Type="http://schemas.openxmlformats.org/officeDocument/2006/relationships/image" Target="media/image25.png"/><Relationship Id="rId66" Type="http://schemas.openxmlformats.org/officeDocument/2006/relationships/image" Target="media/image26.png"/><Relationship Id="rId67" Type="http://schemas.openxmlformats.org/officeDocument/2006/relationships/image" Target="media/image27.png"/><Relationship Id="rId68" Type="http://schemas.openxmlformats.org/officeDocument/2006/relationships/image" Target="media/image28.png"/><Relationship Id="rId69" Type="http://schemas.openxmlformats.org/officeDocument/2006/relationships/image" Target="media/image29.png"/><Relationship Id="rId70" Type="http://schemas.openxmlformats.org/officeDocument/2006/relationships/image" Target="media/image30.png"/><Relationship Id="rId71" Type="http://schemas.openxmlformats.org/officeDocument/2006/relationships/image" Target="media/image31.png"/><Relationship Id="rId16" Type="http://schemas.openxmlformats.org/officeDocument/2006/relationships/hyperlink" Target="http://www.sec.gov/Archives/edgar/data/703604/000070360417000086/boltpurchaseagreement.htm" TargetMode="External"/><Relationship Id="rId17" Type="http://schemas.openxmlformats.org/officeDocument/2006/relationships/hyperlink" Target="http://www.sec.gov/Archives/edgar/data/703604/000129993309004138/exhibit1.htm" TargetMode="External"/><Relationship Id="rId18" Type="http://schemas.openxmlformats.org/officeDocument/2006/relationships/hyperlink" Target="http://www.sec.gov/Archives/edgar/data/703604/000091476001000051/0000914760-01-000051-0002.txt" TargetMode="External"/><Relationship Id="rId19" Type="http://schemas.openxmlformats.org/officeDocument/2006/relationships/hyperlink" Target="http://www.sec.gov/Archives/edgar/data/703604/000091476005000086/l02121_x10c16.txt" TargetMode="External"/><Relationship Id="rId20" Type="http://schemas.openxmlformats.org/officeDocument/2006/relationships/hyperlink" Target="http://www.sec.gov/Archives/edgar/data/703604/000095013708013981/c47930exv10w1.htm" TargetMode="External"/><Relationship Id="rId21" Type="http://schemas.openxmlformats.org/officeDocument/2006/relationships/hyperlink" Target="http://www.sec.gov/Archives/edgar/data/703604/000095013708011717/c35632exv10w01.htm" TargetMode="External"/><Relationship Id="rId22" Type="http://schemas.openxmlformats.org/officeDocument/2006/relationships/hyperlink" Target="http://www.sec.gov/Archives/edgar/data/703604/000095013709001166/c49525exv10w2.htm" TargetMode="External"/><Relationship Id="rId23" Type="http://schemas.openxmlformats.org/officeDocument/2006/relationships/hyperlink" Target="http://www.sec.gov/Archives/edgar/data/703604/000095012309057288/c54430def14a.htm#015" TargetMode="External"/><Relationship Id="rId24" Type="http://schemas.openxmlformats.org/officeDocument/2006/relationships/hyperlink" Target="http://www.sec.gov/Archives/edgar/data/703604/000119312512355511/d395094dex101.htm" TargetMode="External"/><Relationship Id="rId25" Type="http://schemas.openxmlformats.org/officeDocument/2006/relationships/hyperlink" Target="http://www.sec.gov/Archives/edgar/data/703604/000129993312002064/exhibit2.htm" TargetMode="External"/><Relationship Id="rId26" Type="http://schemas.openxmlformats.org/officeDocument/2006/relationships/hyperlink" Target="http://www.sec.gov/Archives/edgar/data/703604/000129993312002064/exhibit3.htm" TargetMode="External"/><Relationship Id="rId27" Type="http://schemas.openxmlformats.org/officeDocument/2006/relationships/hyperlink" Target="http://www.sec.gov/Archives/edgar/data/703604/000070360413000029/firstamendmenttoloan.htm" TargetMode="External"/><Relationship Id="rId28" Type="http://schemas.openxmlformats.org/officeDocument/2006/relationships/hyperlink" Target="http://www.sec.gov/Archives/edgar/data/703604/000070360413000043/ex99_1xloanxamendment.htm" TargetMode="External"/><Relationship Id="rId29" Type="http://schemas.openxmlformats.org/officeDocument/2006/relationships/hyperlink" Target="http://www.sec.gov/Archives/edgar/data/703604/000070360414000006/thirdamendment.htm" TargetMode="External"/><Relationship Id="rId30" Type="http://schemas.openxmlformats.org/officeDocument/2006/relationships/hyperlink" Target="http://www.sec.gov/Archives/edgar/data/703604/000070360414000063/agreementoflease.htm" TargetMode="External"/><Relationship Id="rId31" Type="http://schemas.openxmlformats.org/officeDocument/2006/relationships/hyperlink" Target="http://www.sec.gov/Archives/edgar/data/703604/000070360415000016/exhibit101decatacontract.htm" TargetMode="External"/><Relationship Id="rId32" Type="http://schemas.openxmlformats.org/officeDocument/2006/relationships/hyperlink" Target="http://www.sec.gov/Archives/edgar/data/703604/000070360415000016/exhibit102awardagreement.htm" TargetMode="External"/><Relationship Id="rId33" Type="http://schemas.openxmlformats.org/officeDocument/2006/relationships/hyperlink" Target="http://www.sec.gov/Archives/edgar/data/703604/000070360416000131/ex_18consentagreement.htm" TargetMode="External"/><Relationship Id="rId34" Type="http://schemas.openxmlformats.org/officeDocument/2006/relationships/hyperlink" Target="http://www.sec.gov/Archives/edgar/data/703604/000070360415000087/mccarthychangeincontrolagr.htm" TargetMode="External"/><Relationship Id="rId35" Type="http://schemas.openxmlformats.org/officeDocument/2006/relationships/hyperlink" Target="http://www.sec.gov/Archives/edgar/data/703604/000070360416000139/consentagreementmar2016-01.htm" TargetMode="External"/><Relationship Id="rId36" Type="http://schemas.openxmlformats.org/officeDocument/2006/relationships/hyperlink" Target="http://www.sec.gov/Archives/edgar/data/703604/000070360416000145/fourthamendment-01.htm" TargetMode="External"/><Relationship Id="rId37" Type="http://schemas.openxmlformats.org/officeDocument/2006/relationships/hyperlink" Target="http://www.sec.gov/Archives/edgar/data/703604/000070360416000177/privatebankfifthamendment.htm" TargetMode="External"/><Relationship Id="rId38" Type="http://schemas.openxmlformats.org/officeDocument/2006/relationships/hyperlink" Target="http://www.sec.gov/Archives/edgar/data/703604/000070360416000199/ex101sixthamendment.htm" TargetMode="External"/><Relationship Id="rId39" Type="http://schemas.openxmlformats.org/officeDocument/2006/relationships/hyperlink" Target="http://www.sec.gov/Archives/edgar/data/703604/000070360417000014/seventhamendment-01.htm" TargetMode="External"/><Relationship Id="rId40" Type="http://schemas.openxmlformats.org/officeDocument/2006/relationships/hyperlink" Target="http://www.sec.gov/Archives/edgar/data/703604/000070360417000034/eigthtamendmentdoc.htm" TargetMode="External"/><Relationship Id="rId41" Type="http://schemas.openxmlformats.org/officeDocument/2006/relationships/hyperlink" Target="http://www.sec.gov/Archives/edgar/data/703604/000070360417000080/exhibit101decatacontract20.htm" TargetMode="External"/><Relationship Id="rId42" Type="http://schemas.openxmlformats.org/officeDocument/2006/relationships/hyperlink" Target="http://www.sec.gov/Archives/edgar/data/703604/000070360417000080/exhibit102awardagreement20.htm" TargetMode="External"/><Relationship Id="rId43" Type="http://schemas.openxmlformats.org/officeDocument/2006/relationships/hyperlink" Target="http://www.sec.gov/Archives/edgar/data/703604/000070360417000086/consentandninthamendmet.htm" TargetMode="External"/><Relationship Id="rId44" Type="http://schemas.openxmlformats.org/officeDocument/2006/relationships/hyperlink" Target="http://www.sec.gov/Archives/edgar/data/703604/000119312518114363/d569927dex101.htm" TargetMode="External"/><Relationship Id="rId45" Type="http://schemas.openxmlformats.org/officeDocument/2006/relationships/hyperlink" Target="http://www.sec.gov/Archives/edgar/data/703604/000119312518114363/d569927dex102.htm" TargetMode="External"/><Relationship Id="rId46" Type="http://schemas.openxmlformats.org/officeDocument/2006/relationships/hyperlink" Target="http://www.sec.gov/Archives/edgar/data/703604/000119312518114363/d569927dex103.htm" TargetMode="External"/><Relationship Id="rId47" Type="http://schemas.openxmlformats.org/officeDocument/2006/relationships/hyperlink" Target="http://www.sec.gov/Archives/edgar/data/703604/000119312518114363/d569927dex104.htm" TargetMode="External"/><Relationship Id="rId48" Type="http://schemas.openxmlformats.org/officeDocument/2006/relationships/hyperlink" Target="http://www.sec.gov/Archives/edgar/data/703604/000119312518114363/d569927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2019-12-28T14:56:47Z</dcterms:created>
  <dcterms:modified xsi:type="dcterms:W3CDTF">2019-12-28T14:56:47Z</dcterms:modified>
</cp:coreProperties>
</file>